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609E" w:rsidRDefault="00B220E1">
      <w:pPr>
        <w:pStyle w:val="aff9"/>
        <w:spacing w:after="156"/>
        <w:ind w:firstLine="582"/>
        <w:rPr>
          <w:rStyle w:val="12"/>
          <w:rFonts w:ascii="Times New Roman" w:hAnsi="Times New Roman" w:cs="Times New Roman"/>
          <w:b/>
          <w:sz w:val="28"/>
          <w:szCs w:val="28"/>
        </w:rPr>
      </w:pPr>
      <w:r>
        <w:rPr>
          <w:rStyle w:val="12"/>
          <w:rFonts w:ascii="Times New Roman" w:hAnsi="Times New Roman" w:cs="Times New Roman"/>
          <w:b/>
          <w:sz w:val="28"/>
          <w:szCs w:val="28"/>
        </w:rPr>
        <w:t xml:space="preserve">Jiangsu </w:t>
      </w:r>
      <w:proofErr w:type="spellStart"/>
      <w:r>
        <w:rPr>
          <w:rStyle w:val="12"/>
          <w:rFonts w:ascii="Times New Roman" w:hAnsi="Times New Roman" w:cs="Times New Roman"/>
          <w:b/>
          <w:sz w:val="28"/>
          <w:szCs w:val="28"/>
        </w:rPr>
        <w:t>JiangYan</w:t>
      </w:r>
      <w:proofErr w:type="spellEnd"/>
      <w:r>
        <w:rPr>
          <w:rStyle w:val="12"/>
          <w:rFonts w:ascii="Times New Roman" w:hAnsi="Times New Roman" w:cs="Times New Roman"/>
          <w:b/>
          <w:sz w:val="28"/>
          <w:szCs w:val="28"/>
        </w:rPr>
        <w:t xml:space="preserve"> Rural Commercial Bank</w:t>
      </w:r>
    </w:p>
    <w:p w:rsidR="000B609E" w:rsidRDefault="00B220E1">
      <w:pPr>
        <w:pStyle w:val="aff9"/>
        <w:spacing w:after="156"/>
        <w:ind w:firstLine="582"/>
        <w:rPr>
          <w:rStyle w:val="12"/>
          <w:rFonts w:ascii="Times New Roman" w:hAnsi="Times New Roman" w:cs="Times New Roman"/>
          <w:b/>
          <w:sz w:val="28"/>
          <w:szCs w:val="28"/>
        </w:rPr>
      </w:pPr>
      <w:r>
        <w:rPr>
          <w:rStyle w:val="12"/>
          <w:rFonts w:ascii="Times New Roman" w:hAnsi="Times New Roman" w:cs="Times New Roman"/>
          <w:b/>
          <w:sz w:val="28"/>
          <w:szCs w:val="28"/>
        </w:rPr>
        <w:t>Notes to Financial Statements in 20</w:t>
      </w:r>
      <w:r>
        <w:rPr>
          <w:rStyle w:val="12"/>
          <w:rFonts w:ascii="Times New Roman" w:hAnsi="Times New Roman" w:cs="Times New Roman" w:hint="eastAsia"/>
          <w:b/>
          <w:sz w:val="28"/>
          <w:szCs w:val="28"/>
        </w:rPr>
        <w:t>20</w:t>
      </w:r>
    </w:p>
    <w:p w:rsidR="000B609E" w:rsidRDefault="00B220E1">
      <w:pPr>
        <w:pStyle w:val="aff9"/>
        <w:spacing w:after="156"/>
        <w:ind w:firstLine="580"/>
        <w:rPr>
          <w:rStyle w:val="12"/>
          <w:rFonts w:ascii="Times New Roman" w:hAnsi="Times New Roman" w:cs="Times New Roman"/>
          <w:sz w:val="28"/>
          <w:szCs w:val="28"/>
        </w:rPr>
      </w:pPr>
      <w:r>
        <w:rPr>
          <w:rStyle w:val="12"/>
          <w:rFonts w:ascii="Times New Roman" w:hAnsi="Times New Roman" w:cs="Times New Roman"/>
          <w:sz w:val="28"/>
          <w:szCs w:val="28"/>
        </w:rPr>
        <w:t>(All amounts expressed in RMB unless otherwise stated)</w:t>
      </w:r>
    </w:p>
    <w:p w:rsidR="000B609E" w:rsidRDefault="000B609E">
      <w:pPr>
        <w:spacing w:after="156"/>
        <w:ind w:firstLine="420"/>
      </w:pPr>
    </w:p>
    <w:p w:rsidR="000B609E" w:rsidRDefault="00B220E1">
      <w:pPr>
        <w:pStyle w:val="1"/>
        <w:numPr>
          <w:ilvl w:val="0"/>
          <w:numId w:val="11"/>
        </w:numPr>
        <w:spacing w:before="0" w:after="10" w:line="360" w:lineRule="auto"/>
        <w:ind w:left="0" w:firstLine="482"/>
        <w:rPr>
          <w:rFonts w:ascii="Times New Roman" w:hAnsi="Times New Roman" w:cs="Times New Roman"/>
          <w:sz w:val="24"/>
          <w:szCs w:val="24"/>
        </w:rPr>
      </w:pPr>
      <w:r>
        <w:rPr>
          <w:rFonts w:ascii="Times New Roman" w:hAnsi="Times New Roman" w:cs="Times New Roman"/>
          <w:sz w:val="24"/>
          <w:szCs w:val="24"/>
        </w:rPr>
        <w:t>GENERAL INFORMATION</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Jiangsu </w:t>
      </w:r>
      <w:proofErr w:type="spellStart"/>
      <w:r>
        <w:rPr>
          <w:rFonts w:ascii="Times New Roman" w:hAnsi="Times New Roman" w:cs="Times New Roman" w:hint="eastAsia"/>
          <w:sz w:val="24"/>
          <w:szCs w:val="24"/>
        </w:rPr>
        <w:t>JiangYan</w:t>
      </w:r>
      <w:proofErr w:type="spellEnd"/>
      <w:r>
        <w:rPr>
          <w:rFonts w:ascii="Times New Roman" w:hAnsi="Times New Roman" w:cs="Times New Roman" w:hint="eastAsia"/>
          <w:sz w:val="24"/>
          <w:szCs w:val="24"/>
        </w:rPr>
        <w:t xml:space="preserve"> </w:t>
      </w:r>
      <w:r>
        <w:rPr>
          <w:rFonts w:ascii="Times New Roman" w:hAnsi="Times New Roman" w:cs="Times New Roman"/>
          <w:sz w:val="24"/>
          <w:szCs w:val="24"/>
        </w:rPr>
        <w:t xml:space="preserve">Rural Commercial Bank Co., Ltd. (“the Company”, “the Bank”) is a commercial bank incorporated in Jiangsu </w:t>
      </w:r>
      <w:proofErr w:type="spellStart"/>
      <w:r>
        <w:rPr>
          <w:rFonts w:ascii="Times New Roman" w:hAnsi="Times New Roman" w:cs="Times New Roman" w:hint="eastAsia"/>
          <w:sz w:val="24"/>
          <w:szCs w:val="24"/>
        </w:rPr>
        <w:t>Jiangyan</w:t>
      </w:r>
      <w:proofErr w:type="spellEnd"/>
      <w:r>
        <w:rPr>
          <w:rFonts w:ascii="Times New Roman" w:hAnsi="Times New Roman" w:cs="Times New Roman"/>
          <w:sz w:val="24"/>
          <w:szCs w:val="24"/>
        </w:rPr>
        <w:t xml:space="preserve">, the People’s Republic of China (“the PRC”) on </w:t>
      </w:r>
      <w:r>
        <w:rPr>
          <w:rFonts w:ascii="Times New Roman" w:hAnsi="Times New Roman" w:cs="Times New Roman" w:hint="eastAsia"/>
          <w:sz w:val="24"/>
          <w:szCs w:val="24"/>
        </w:rPr>
        <w:t>13</w:t>
      </w:r>
      <w:r>
        <w:rPr>
          <w:rFonts w:ascii="Times New Roman" w:hAnsi="Times New Roman" w:cs="Times New Roman"/>
          <w:sz w:val="24"/>
          <w:szCs w:val="24"/>
        </w:rPr>
        <w:t xml:space="preserve"> January 2011 in accordance with the approval from China Banking Regulatory Commission (“CBRC”) (SYJF [2011] No.26), and its financial service certificate is No. B1145H232120001. </w:t>
      </w:r>
      <w:r>
        <w:rPr>
          <w:rFonts w:ascii="Times New Roman" w:hAnsi="Times New Roman" w:cs="Times New Roman" w:hint="eastAsia"/>
          <w:sz w:val="24"/>
          <w:szCs w:val="24"/>
        </w:rPr>
        <w:t>O</w:t>
      </w:r>
      <w:r>
        <w:rPr>
          <w:rFonts w:ascii="Times New Roman" w:hAnsi="Times New Roman" w:cs="Times New Roman"/>
          <w:sz w:val="24"/>
          <w:szCs w:val="24"/>
        </w:rPr>
        <w:t>n 13 January 2011</w:t>
      </w:r>
      <w:r>
        <w:rPr>
          <w:rFonts w:ascii="Times New Roman" w:hAnsi="Times New Roman" w:cs="Times New Roman" w:hint="eastAsia"/>
          <w:sz w:val="24"/>
          <w:szCs w:val="24"/>
        </w:rPr>
        <w:t>, t</w:t>
      </w:r>
      <w:r>
        <w:rPr>
          <w:rFonts w:ascii="Times New Roman" w:hAnsi="Times New Roman" w:cs="Times New Roman"/>
          <w:sz w:val="24"/>
          <w:szCs w:val="24"/>
        </w:rPr>
        <w:t xml:space="preserve">he Company obtained its business </w:t>
      </w:r>
      <w:proofErr w:type="spellStart"/>
      <w:r>
        <w:rPr>
          <w:rFonts w:ascii="Times New Roman" w:hAnsi="Times New Roman" w:cs="Times New Roman"/>
          <w:sz w:val="24"/>
          <w:szCs w:val="24"/>
        </w:rPr>
        <w:t>licence</w:t>
      </w:r>
      <w:proofErr w:type="spellEnd"/>
      <w:r>
        <w:rPr>
          <w:rFonts w:ascii="Times New Roman" w:hAnsi="Times New Roman" w:cs="Times New Roman"/>
          <w:sz w:val="24"/>
          <w:szCs w:val="24"/>
        </w:rPr>
        <w:t xml:space="preserve"> with the Number of</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913212001419478711 from Jiangsu </w:t>
      </w:r>
      <w:r>
        <w:rPr>
          <w:rFonts w:ascii="Times New Roman" w:hAnsi="Times New Roman" w:cs="Times New Roman" w:hint="eastAsia"/>
          <w:sz w:val="24"/>
          <w:szCs w:val="24"/>
        </w:rPr>
        <w:t>Taizhou</w:t>
      </w:r>
      <w:r>
        <w:rPr>
          <w:rFonts w:ascii="Times New Roman" w:hAnsi="Times New Roman" w:cs="Times New Roman"/>
          <w:sz w:val="24"/>
          <w:szCs w:val="24"/>
        </w:rPr>
        <w:t xml:space="preserve"> Municipal Administration of Industry and Commerce. The address of the Company:</w:t>
      </w:r>
      <w:r>
        <w:rPr>
          <w:rFonts w:ascii="Times New Roman" w:hAnsi="Times New Roman" w:cs="Times New Roman" w:hint="eastAsia"/>
          <w:sz w:val="24"/>
          <w:szCs w:val="24"/>
        </w:rPr>
        <w:t xml:space="preserve"> </w:t>
      </w:r>
      <w:r>
        <w:rPr>
          <w:rFonts w:ascii="Times New Roman" w:hAnsi="Times New Roman" w:cs="Times New Roman"/>
          <w:sz w:val="24"/>
          <w:szCs w:val="24"/>
        </w:rPr>
        <w:t>No.</w:t>
      </w:r>
      <w:r>
        <w:rPr>
          <w:rFonts w:ascii="Times New Roman" w:hAnsi="Times New Roman" w:cs="Times New Roman" w:hint="eastAsia"/>
          <w:sz w:val="24"/>
          <w:szCs w:val="24"/>
        </w:rPr>
        <w:t>12</w:t>
      </w:r>
      <w:r>
        <w:rPr>
          <w:rFonts w:ascii="Times New Roman" w:hAnsi="Times New Roman" w:cs="Times New Roman"/>
          <w:sz w:val="24"/>
          <w:szCs w:val="24"/>
        </w:rPr>
        <w:t xml:space="preserve">8, </w:t>
      </w:r>
      <w:proofErr w:type="spellStart"/>
      <w:r>
        <w:rPr>
          <w:rFonts w:ascii="Times New Roman" w:hAnsi="Times New Roman" w:cs="Times New Roman" w:hint="eastAsia"/>
          <w:sz w:val="24"/>
          <w:szCs w:val="24"/>
        </w:rPr>
        <w:t>Jiangyan</w:t>
      </w:r>
      <w:proofErr w:type="spellEnd"/>
      <w:r>
        <w:rPr>
          <w:rFonts w:ascii="Times New Roman" w:hAnsi="Times New Roman" w:cs="Times New Roman" w:hint="eastAsia"/>
          <w:sz w:val="24"/>
          <w:szCs w:val="24"/>
        </w:rPr>
        <w:t xml:space="preserve"> A</w:t>
      </w:r>
      <w:r>
        <w:rPr>
          <w:rFonts w:ascii="Times New Roman" w:hAnsi="Times New Roman" w:cs="Times New Roman"/>
          <w:sz w:val="24"/>
          <w:szCs w:val="24"/>
        </w:rPr>
        <w:t xml:space="preserve">venue, </w:t>
      </w:r>
      <w:r>
        <w:rPr>
          <w:rFonts w:ascii="Times New Roman" w:hAnsi="Times New Roman" w:cs="Times New Roman" w:hint="eastAsia"/>
          <w:sz w:val="24"/>
          <w:szCs w:val="24"/>
        </w:rPr>
        <w:t>Taizhou City</w:t>
      </w:r>
      <w:r>
        <w:rPr>
          <w:rFonts w:ascii="Times New Roman" w:hAnsi="Times New Roman" w:cs="Times New Roman"/>
          <w:sz w:val="24"/>
          <w:szCs w:val="24"/>
        </w:rPr>
        <w:t>, Jiangsu Province.</w:t>
      </w:r>
      <w:r>
        <w:rPr>
          <w:rFonts w:ascii="Times New Roman" w:hAnsi="Times New Roman" w:cs="Times New Roman" w:hint="eastAsia"/>
          <w:sz w:val="24"/>
          <w:szCs w:val="24"/>
        </w:rPr>
        <w:t xml:space="preserve"> The legal person</w:t>
      </w:r>
      <w:r>
        <w:rPr>
          <w:rFonts w:ascii="Times New Roman" w:hAnsi="Times New Roman" w:cs="Times New Roman" w:hint="eastAsia"/>
          <w:sz w:val="24"/>
          <w:szCs w:val="24"/>
        </w:rPr>
        <w:t>：</w:t>
      </w:r>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Qihua</w:t>
      </w:r>
      <w:proofErr w:type="spellEnd"/>
      <w:r>
        <w:rPr>
          <w:rFonts w:ascii="Times New Roman" w:hAnsi="Times New Roman" w:cs="Times New Roman" w:hint="eastAsia"/>
          <w:sz w:val="24"/>
          <w:szCs w:val="24"/>
        </w:rPr>
        <w:t xml:space="preserve"> Hong. </w:t>
      </w:r>
      <w:r>
        <w:rPr>
          <w:rFonts w:ascii="Times New Roman" w:hAnsi="Times New Roman" w:cs="Times New Roman"/>
          <w:sz w:val="24"/>
          <w:szCs w:val="24"/>
        </w:rPr>
        <w:t>On 31 December 201</w:t>
      </w:r>
      <w:r>
        <w:rPr>
          <w:rFonts w:ascii="Times New Roman" w:hAnsi="Times New Roman" w:cs="Times New Roman" w:hint="eastAsia"/>
          <w:sz w:val="24"/>
          <w:szCs w:val="24"/>
        </w:rPr>
        <w:t>7</w:t>
      </w:r>
      <w:r>
        <w:rPr>
          <w:rFonts w:ascii="Times New Roman" w:hAnsi="Times New Roman" w:cs="Times New Roman"/>
          <w:sz w:val="24"/>
          <w:szCs w:val="24"/>
        </w:rPr>
        <w:t xml:space="preserve">, the registered capital of the Company amounted to RMB </w:t>
      </w:r>
      <w:r>
        <w:rPr>
          <w:rFonts w:ascii="Times New Roman" w:hAnsi="Times New Roman" w:cs="Times New Roman" w:hint="eastAsia"/>
          <w:sz w:val="24"/>
          <w:szCs w:val="24"/>
        </w:rPr>
        <w:t>8</w:t>
      </w:r>
      <w:r>
        <w:rPr>
          <w:rFonts w:ascii="Times New Roman" w:hAnsi="Times New Roman" w:cs="Times New Roman"/>
          <w:sz w:val="24"/>
          <w:szCs w:val="24"/>
        </w:rPr>
        <w:t>00,000,000.</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Up to the end of December, </w:t>
      </w:r>
      <w:r>
        <w:rPr>
          <w:rFonts w:ascii="Times New Roman" w:hAnsi="Times New Roman" w:cs="Times New Roman" w:hint="eastAsia"/>
          <w:sz w:val="24"/>
          <w:szCs w:val="24"/>
        </w:rPr>
        <w:t>2020</w:t>
      </w:r>
      <w:r>
        <w:rPr>
          <w:rFonts w:ascii="Times New Roman" w:hAnsi="Times New Roman" w:cs="Times New Roman"/>
          <w:sz w:val="24"/>
          <w:szCs w:val="24"/>
        </w:rPr>
        <w:t>, the bank has 46 affiliated branches, among which, there are one business department, 36 branches and 9 sub-branches. The bank carries out the management system of first-class legal entity, integrated business accounting, level-to-level administration and authorized operation.</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Company and its subsidiaries (collectively referred to as “the Group”) are mainly engaged in financial service businesses. The scope of business mainly includes absorbing deposits from public; granting of short; medium and long-term loans; domestic settlement; bill acceptance and discounting; agency of distribution; cashing and underwriting government bonds; trading government bonds, financial bonds; interbank lending; bank card business; payments business agency; providing safe </w:t>
      </w:r>
      <w:r>
        <w:rPr>
          <w:rFonts w:ascii="Times New Roman" w:hAnsi="Times New Roman" w:cs="Times New Roman"/>
          <w:sz w:val="24"/>
          <w:szCs w:val="24"/>
        </w:rPr>
        <w:lastRenderedPageBreak/>
        <w:t>deposit box services; foreign currency deposits; foreign currency loans; remittance; currency exchange; international settlements; credit investigation, consulting services; other businesses approved by CBRC, and insurance business agency (subject to approved scope and duration of insurance agency business license). The Company’s principal regulator is China Banking Regulatory Commission.</w:t>
      </w:r>
    </w:p>
    <w:p w:rsidR="000B609E" w:rsidRDefault="00B220E1">
      <w:pPr>
        <w:pStyle w:val="1"/>
        <w:numPr>
          <w:ilvl w:val="0"/>
          <w:numId w:val="11"/>
        </w:numPr>
        <w:spacing w:before="0" w:after="10" w:line="360" w:lineRule="auto"/>
        <w:ind w:left="0" w:firstLine="482"/>
        <w:rPr>
          <w:rFonts w:ascii="Times New Roman" w:hAnsi="Times New Roman" w:cs="Times New Roman"/>
          <w:sz w:val="24"/>
          <w:szCs w:val="24"/>
        </w:rPr>
      </w:pPr>
      <w:r>
        <w:rPr>
          <w:rFonts w:ascii="Times New Roman" w:hAnsi="Times New Roman" w:cs="Times New Roman" w:hint="eastAsia"/>
          <w:sz w:val="24"/>
          <w:szCs w:val="24"/>
        </w:rPr>
        <w:t>THE SCOPE OF CONSOLIDATED FINANCIAL STATEMENT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consolidated financial statements include the financial statements of the company</w:t>
      </w:r>
      <w:r>
        <w:rPr>
          <w:rFonts w:ascii="Times New Roman" w:hAnsi="Times New Roman" w:cs="Times New Roman" w:hint="eastAsia"/>
          <w:sz w:val="24"/>
          <w:szCs w:val="24"/>
        </w:rPr>
        <w:t xml:space="preserve"> and </w:t>
      </w:r>
      <w:r>
        <w:rPr>
          <w:rFonts w:ascii="Times New Roman" w:hAnsi="Times New Roman" w:cs="Times New Roman"/>
          <w:sz w:val="24"/>
          <w:szCs w:val="24"/>
        </w:rPr>
        <w:t xml:space="preserve">Jiangsu </w:t>
      </w:r>
      <w:proofErr w:type="spellStart"/>
      <w:r>
        <w:rPr>
          <w:rFonts w:ascii="Times New Roman" w:hAnsi="Times New Roman" w:cs="Times New Roman" w:hint="eastAsia"/>
          <w:sz w:val="24"/>
          <w:szCs w:val="24"/>
        </w:rPr>
        <w:t>Hongze</w:t>
      </w:r>
      <w:proofErr w:type="spellEnd"/>
      <w:r>
        <w:t xml:space="preserve"> </w:t>
      </w:r>
      <w:proofErr w:type="spellStart"/>
      <w:r>
        <w:rPr>
          <w:rFonts w:ascii="Times New Roman" w:hAnsi="Times New Roman" w:cs="Times New Roman"/>
          <w:sz w:val="24"/>
          <w:szCs w:val="24"/>
        </w:rPr>
        <w:t>Jinyangguang</w:t>
      </w:r>
      <w:proofErr w:type="spellEnd"/>
      <w:r>
        <w:rPr>
          <w:rFonts w:ascii="Times New Roman" w:hAnsi="Times New Roman" w:cs="Times New Roman"/>
          <w:sz w:val="24"/>
          <w:szCs w:val="24"/>
        </w:rPr>
        <w:t xml:space="preserve"> </w:t>
      </w:r>
      <w:r>
        <w:rPr>
          <w:rFonts w:ascii="Times New Roman" w:hAnsi="Times New Roman" w:cs="Times New Roman" w:hint="eastAsia"/>
          <w:sz w:val="24"/>
          <w:szCs w:val="24"/>
        </w:rPr>
        <w:t>Village</w:t>
      </w:r>
      <w:r>
        <w:rPr>
          <w:rFonts w:ascii="Times New Roman" w:hAnsi="Times New Roman" w:cs="Times New Roman"/>
          <w:sz w:val="24"/>
          <w:szCs w:val="24"/>
        </w:rPr>
        <w:t xml:space="preserve"> Bank Co., Ltd.</w:t>
      </w:r>
    </w:p>
    <w:p w:rsidR="000B609E" w:rsidRDefault="00B220E1">
      <w:pPr>
        <w:pStyle w:val="1"/>
        <w:numPr>
          <w:ilvl w:val="0"/>
          <w:numId w:val="11"/>
        </w:numPr>
        <w:spacing w:before="0" w:after="10" w:line="360" w:lineRule="auto"/>
        <w:ind w:left="0" w:firstLine="482"/>
        <w:rPr>
          <w:rFonts w:ascii="Times New Roman" w:hAnsi="Times New Roman" w:cs="Times New Roman"/>
          <w:sz w:val="24"/>
          <w:szCs w:val="24"/>
        </w:rPr>
      </w:pPr>
      <w:r>
        <w:rPr>
          <w:rFonts w:ascii="Times New Roman" w:hAnsi="Times New Roman" w:cs="Times New Roman" w:hint="eastAsia"/>
          <w:sz w:val="24"/>
          <w:szCs w:val="24"/>
        </w:rPr>
        <w:t>BASIS OF PRESENTATION</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1. </w:t>
      </w:r>
      <w:r>
        <w:rPr>
          <w:rFonts w:ascii="Times New Roman" w:hAnsi="Times New Roman" w:cs="Times New Roman"/>
          <w:sz w:val="24"/>
          <w:szCs w:val="24"/>
        </w:rPr>
        <w:t xml:space="preserve">The financial statements were prepared in accordance with the Basic Standard of the Accounting Standards for Business Enterprise, specific standards and other relevant regulations issued by the Ministry of Finance on 15 February 2006 and </w:t>
      </w:r>
      <w:proofErr w:type="gramStart"/>
      <w:r>
        <w:rPr>
          <w:rFonts w:ascii="Times New Roman" w:hAnsi="Times New Roman" w:cs="Times New Roman"/>
          <w:sz w:val="24"/>
          <w:szCs w:val="24"/>
        </w:rPr>
        <w:t>thereafter(</w:t>
      </w:r>
      <w:proofErr w:type="gramEnd"/>
      <w:r>
        <w:rPr>
          <w:rFonts w:ascii="Times New Roman" w:hAnsi="Times New Roman" w:cs="Times New Roman"/>
          <w:sz w:val="24"/>
          <w:szCs w:val="24"/>
        </w:rPr>
        <w:t>hereafter referred to as “the Accounting Standards for Business Enterprises” or “CAS”)</w:t>
      </w:r>
      <w:r>
        <w:rPr>
          <w:rFonts w:ascii="Times New Roman" w:hAnsi="Times New Roman" w:cs="Times New Roman" w:hint="eastAsia"/>
          <w:sz w:val="24"/>
          <w:szCs w:val="24"/>
        </w:rPr>
        <w: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2. The financial statements are prepared on a going concern basis.</w:t>
      </w:r>
    </w:p>
    <w:p w:rsidR="000B609E" w:rsidRDefault="00B220E1">
      <w:pPr>
        <w:pStyle w:val="1"/>
        <w:numPr>
          <w:ilvl w:val="0"/>
          <w:numId w:val="11"/>
        </w:numPr>
        <w:spacing w:before="0" w:after="10" w:line="360" w:lineRule="auto"/>
        <w:ind w:left="0" w:firstLine="482"/>
        <w:rPr>
          <w:rFonts w:ascii="Times New Roman" w:hAnsi="Times New Roman" w:cs="Times New Roman"/>
          <w:sz w:val="24"/>
          <w:szCs w:val="24"/>
        </w:rPr>
      </w:pPr>
      <w:r>
        <w:rPr>
          <w:rFonts w:ascii="Times New Roman" w:hAnsi="Times New Roman" w:cs="Times New Roman" w:hint="eastAsia"/>
          <w:sz w:val="24"/>
          <w:szCs w:val="24"/>
        </w:rPr>
        <w:t>STATEMENT OF COMPLIANCE WITH CAS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financial statements of the Company for the year ended 31 December 20</w:t>
      </w:r>
      <w:r>
        <w:rPr>
          <w:rFonts w:ascii="Times New Roman" w:hAnsi="Times New Roman" w:cs="Times New Roman" w:hint="eastAsia"/>
          <w:sz w:val="24"/>
          <w:szCs w:val="24"/>
        </w:rPr>
        <w:t>20</w:t>
      </w:r>
      <w:r>
        <w:rPr>
          <w:rFonts w:ascii="Times New Roman" w:hAnsi="Times New Roman" w:cs="Times New Roman"/>
          <w:sz w:val="24"/>
          <w:szCs w:val="24"/>
        </w:rPr>
        <w:t xml:space="preserve"> </w:t>
      </w:r>
      <w:proofErr w:type="gramStart"/>
      <w:r>
        <w:rPr>
          <w:rFonts w:ascii="Times New Roman" w:hAnsi="Times New Roman" w:cs="Times New Roman"/>
          <w:sz w:val="24"/>
          <w:szCs w:val="24"/>
        </w:rPr>
        <w:t>are in compliance with</w:t>
      </w:r>
      <w:proofErr w:type="gramEnd"/>
      <w:r>
        <w:rPr>
          <w:rFonts w:ascii="Times New Roman" w:hAnsi="Times New Roman" w:cs="Times New Roman"/>
          <w:sz w:val="24"/>
          <w:szCs w:val="24"/>
        </w:rPr>
        <w:t xml:space="preserve"> the Accounting Standards for Business Enterprises, and truly and completely present the Company’s financial positions as at 31 December 20</w:t>
      </w:r>
      <w:r>
        <w:rPr>
          <w:rFonts w:ascii="Times New Roman" w:hAnsi="Times New Roman" w:cs="Times New Roman" w:hint="eastAsia"/>
          <w:sz w:val="24"/>
          <w:szCs w:val="24"/>
        </w:rPr>
        <w:t>20</w:t>
      </w:r>
      <w:r>
        <w:rPr>
          <w:rFonts w:ascii="Times New Roman" w:hAnsi="Times New Roman" w:cs="Times New Roman"/>
          <w:sz w:val="24"/>
          <w:szCs w:val="24"/>
        </w:rPr>
        <w:t xml:space="preserve"> and consolidated and the Company’s financial performance, cash flows and other information for the year then ended</w:t>
      </w:r>
      <w:r>
        <w:rPr>
          <w:rFonts w:ascii="Times New Roman" w:hAnsi="Times New Roman" w:cs="Times New Roman" w:hint="eastAsia"/>
          <w:sz w:val="24"/>
          <w:szCs w:val="24"/>
        </w:rPr>
        <w:t>.</w:t>
      </w:r>
    </w:p>
    <w:p w:rsidR="000B609E" w:rsidRDefault="00B220E1">
      <w:pPr>
        <w:pStyle w:val="1"/>
        <w:numPr>
          <w:ilvl w:val="0"/>
          <w:numId w:val="11"/>
        </w:numPr>
        <w:spacing w:before="0" w:after="10" w:line="360" w:lineRule="auto"/>
        <w:ind w:left="0" w:firstLine="482"/>
        <w:rPr>
          <w:rFonts w:ascii="Times New Roman" w:hAnsi="Times New Roman" w:cs="Times New Roman"/>
          <w:sz w:val="24"/>
          <w:szCs w:val="24"/>
        </w:rPr>
      </w:pPr>
      <w:r>
        <w:rPr>
          <w:rFonts w:ascii="Times New Roman" w:hAnsi="Times New Roman" w:cs="Times New Roman"/>
          <w:sz w:val="24"/>
          <w:szCs w:val="24"/>
        </w:rPr>
        <w:t>SIGNIFICANT ACCOUNTING POLICIES</w:t>
      </w:r>
      <w:r>
        <w:rPr>
          <w:rFonts w:ascii="Times New Roman" w:hAnsi="Times New Roman" w:cs="Times New Roman" w:hint="eastAsia"/>
          <w:sz w:val="24"/>
          <w:szCs w:val="24"/>
        </w:rPr>
        <w:t xml:space="preserve"> AND ACCOUNTING</w:t>
      </w:r>
      <w:r>
        <w:rPr>
          <w:rFonts w:ascii="Times New Roman" w:hAnsi="Times New Roman" w:cs="Times New Roman"/>
          <w:sz w:val="24"/>
          <w:szCs w:val="24"/>
        </w:rPr>
        <w:t xml:space="preserve"> ESTIMATES</w:t>
      </w:r>
      <w:r>
        <w:rPr>
          <w:rFonts w:ascii="Times New Roman" w:hAnsi="Times New Roman" w:cs="Times New Roman" w:hint="eastAsia"/>
          <w:sz w:val="24"/>
          <w:szCs w:val="24"/>
        </w:rPr>
        <w:t xml:space="preserve"> AND CORRECTIONS OF ERRORS.</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 xml:space="preserve">1. </w:t>
      </w:r>
      <w:r>
        <w:rPr>
          <w:rFonts w:ascii="Times New Roman" w:hAnsi="Times New Roman" w:cs="Times New Roman"/>
          <w:sz w:val="24"/>
          <w:szCs w:val="24"/>
        </w:rPr>
        <w:t>Accounting year</w:t>
      </w:r>
    </w:p>
    <w:p w:rsidR="000B609E" w:rsidRDefault="00B220E1">
      <w:pPr>
        <w:spacing w:afterLines="0" w:after="0" w:line="360" w:lineRule="auto"/>
        <w:ind w:firstLine="480"/>
        <w:rPr>
          <w:rFonts w:ascii="Times New Roman" w:hAnsi="Times New Roman" w:cs="Times New Roman"/>
          <w:sz w:val="24"/>
          <w:szCs w:val="24"/>
        </w:rPr>
      </w:pPr>
      <w:r>
        <w:rPr>
          <w:rFonts w:ascii="Times New Roman" w:hAnsi="Times New Roman" w:cs="Times New Roman"/>
          <w:sz w:val="24"/>
          <w:szCs w:val="24"/>
        </w:rPr>
        <w:t>The Company’s accounting year starts on 1 January and ends on 31 December.</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lastRenderedPageBreak/>
        <w:t>2. Operating cycle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operating cycle of the G</w:t>
      </w:r>
      <w:r>
        <w:rPr>
          <w:rFonts w:ascii="Times New Roman" w:hAnsi="Times New Roman" w:cs="Times New Roman"/>
          <w:sz w:val="24"/>
          <w:szCs w:val="24"/>
        </w:rPr>
        <w:t>roup</w:t>
      </w:r>
      <w:r>
        <w:rPr>
          <w:rFonts w:ascii="Times New Roman" w:hAnsi="Times New Roman" w:cs="Times New Roman" w:hint="eastAsia"/>
          <w:sz w:val="24"/>
          <w:szCs w:val="24"/>
        </w:rPr>
        <w:t xml:space="preserve"> is 12 months.</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3.Functional currency</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functional currency is Renminbi (RMB).</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4. Accounting Basis and Valuation Principle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financial accounting of the </w:t>
      </w:r>
      <w:r>
        <w:rPr>
          <w:rFonts w:ascii="Times New Roman" w:hAnsi="Times New Roman" w:cs="Times New Roman" w:hint="eastAsia"/>
          <w:sz w:val="24"/>
          <w:szCs w:val="24"/>
        </w:rPr>
        <w:t>Group</w:t>
      </w:r>
      <w:r>
        <w:rPr>
          <w:rFonts w:ascii="Times New Roman" w:hAnsi="Times New Roman" w:cs="Times New Roman"/>
          <w:sz w:val="24"/>
          <w:szCs w:val="24"/>
        </w:rPr>
        <w:t xml:space="preserve"> takes accrual basis as the bookkeeping base. Except some financial assets and liabilities measured in fair value, all the rest takes historical costs as the method to measure accounting elements.</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5. Business combinations and Goodwill</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 business combination is defined as an entity obtaining control of one or more businesses</w:t>
      </w:r>
      <w:r>
        <w:rPr>
          <w:rFonts w:ascii="Times New Roman" w:hAnsi="Times New Roman" w:cs="Times New Roman" w:hint="eastAsia"/>
          <w:sz w:val="24"/>
          <w:szCs w:val="24"/>
        </w:rPr>
        <w:t xml:space="preserve">. Business combination can be </w:t>
      </w:r>
      <w:r>
        <w:rPr>
          <w:rFonts w:ascii="Times New Roman" w:hAnsi="Times New Roman" w:cs="Times New Roman"/>
          <w:sz w:val="24"/>
          <w:szCs w:val="24"/>
        </w:rPr>
        <w:t>classified</w:t>
      </w:r>
      <w:r>
        <w:rPr>
          <w:rFonts w:ascii="Times New Roman" w:hAnsi="Times New Roman" w:cs="Times New Roman" w:hint="eastAsia"/>
          <w:sz w:val="24"/>
          <w:szCs w:val="24"/>
        </w:rPr>
        <w:t xml:space="preserve"> into </w:t>
      </w:r>
      <w:r>
        <w:rPr>
          <w:rFonts w:ascii="Times New Roman" w:hAnsi="Times New Roman" w:cs="Times New Roman"/>
          <w:sz w:val="24"/>
          <w:szCs w:val="24"/>
        </w:rPr>
        <w:t>business</w:t>
      </w:r>
      <w:r>
        <w:rPr>
          <w:rFonts w:ascii="Times New Roman" w:hAnsi="Times New Roman" w:cs="Times New Roman" w:hint="eastAsia"/>
          <w:sz w:val="24"/>
          <w:szCs w:val="24"/>
        </w:rPr>
        <w:t xml:space="preserve"> combination under common </w:t>
      </w:r>
      <w:r>
        <w:rPr>
          <w:rFonts w:ascii="Times New Roman" w:hAnsi="Times New Roman" w:cs="Times New Roman"/>
          <w:sz w:val="24"/>
          <w:szCs w:val="24"/>
        </w:rPr>
        <w:t>control</w:t>
      </w:r>
      <w:r>
        <w:rPr>
          <w:rFonts w:ascii="Times New Roman" w:hAnsi="Times New Roman" w:cs="Times New Roman" w:hint="eastAsia"/>
          <w:sz w:val="24"/>
          <w:szCs w:val="24"/>
        </w:rPr>
        <w:t xml:space="preserve"> and business combination not under common control.</w:t>
      </w:r>
    </w:p>
    <w:p w:rsidR="000B609E" w:rsidRDefault="00B220E1">
      <w:pPr>
        <w:pStyle w:val="11"/>
        <w:numPr>
          <w:ilvl w:val="0"/>
          <w:numId w:val="12"/>
        </w:numPr>
        <w:spacing w:after="156"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B</w:t>
      </w:r>
      <w:r>
        <w:rPr>
          <w:rFonts w:ascii="Times New Roman" w:hAnsi="Times New Roman" w:cs="Times New Roman"/>
          <w:sz w:val="24"/>
          <w:szCs w:val="24"/>
        </w:rPr>
        <w:t>usiness combination under common control</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enterprises</w:t>
      </w:r>
      <w:r>
        <w:rPr>
          <w:rFonts w:ascii="Times New Roman" w:hAnsi="Times New Roman" w:cs="Times New Roman" w:hint="eastAsia"/>
          <w:sz w:val="24"/>
          <w:szCs w:val="24"/>
        </w:rPr>
        <w:t xml:space="preserve"> </w:t>
      </w:r>
      <w:r>
        <w:rPr>
          <w:rFonts w:ascii="Times New Roman" w:hAnsi="Times New Roman" w:cs="Times New Roman"/>
          <w:sz w:val="24"/>
          <w:szCs w:val="24"/>
        </w:rPr>
        <w:t>participating in the merger are ultimately controlled by the same party or the same parties before and after the merger, and the control is not temporary.</w:t>
      </w:r>
      <w:r>
        <w:rPr>
          <w:rFonts w:ascii="Times New Roman" w:hAnsi="Times New Roman" w:cs="Times New Roman" w:hint="eastAsia"/>
          <w:sz w:val="24"/>
          <w:szCs w:val="24"/>
        </w:rPr>
        <w:t xml:space="preserve"> This merger is a business combination under the common control.</w:t>
      </w:r>
      <w:r>
        <w:rPr>
          <w:rFonts w:ascii="Times New Roman" w:hAnsi="Times New Roman" w:cs="Times New Roman"/>
          <w:sz w:val="24"/>
          <w:szCs w:val="24"/>
        </w:rPr>
        <w:t xml:space="preserve"> In a business combination under the </w:t>
      </w:r>
      <w:r>
        <w:rPr>
          <w:rFonts w:ascii="Times New Roman" w:hAnsi="Times New Roman" w:cs="Times New Roman" w:hint="eastAsia"/>
          <w:sz w:val="24"/>
          <w:szCs w:val="24"/>
        </w:rPr>
        <w:t>common</w:t>
      </w:r>
      <w:r>
        <w:rPr>
          <w:rFonts w:ascii="Times New Roman" w:hAnsi="Times New Roman" w:cs="Times New Roman"/>
          <w:sz w:val="24"/>
          <w:szCs w:val="24"/>
        </w:rPr>
        <w:t xml:space="preserve"> control, the party that acquired the control over the other participants at the merger date is the combining party, and the other companies that participate in the merger are the merged parties. The merger date refers to the date on which the combining party actually obtained control of the merged party.</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In a business combination under the </w:t>
      </w:r>
      <w:r>
        <w:rPr>
          <w:rFonts w:ascii="Times New Roman" w:hAnsi="Times New Roman" w:cs="Times New Roman" w:hint="eastAsia"/>
          <w:sz w:val="24"/>
          <w:szCs w:val="24"/>
        </w:rPr>
        <w:t>common</w:t>
      </w:r>
      <w:r>
        <w:rPr>
          <w:rFonts w:ascii="Times New Roman" w:hAnsi="Times New Roman" w:cs="Times New Roman"/>
          <w:sz w:val="24"/>
          <w:szCs w:val="24"/>
        </w:rPr>
        <w:t xml:space="preserve"> control, the assets and liabilities obtained by the combining party are measured according to the book value of the merged party on the merger date. The difference between the carrying amount of the net assets obtained by the combining party and the carrying amount of the consideration paid for the combination (or the total par value of the shares issued) </w:t>
      </w:r>
      <w:r>
        <w:rPr>
          <w:rFonts w:ascii="Times New Roman" w:hAnsi="Times New Roman" w:cs="Times New Roman"/>
          <w:sz w:val="24"/>
          <w:szCs w:val="24"/>
        </w:rPr>
        <w:lastRenderedPageBreak/>
        <w:t>shall be adjusted to the capital reserve. If the capital reserve is insufficient to offset, the retained earnings shall be adjusted.</w:t>
      </w:r>
      <w:r>
        <w:rPr>
          <w:rFonts w:ascii="Times New Roman" w:hAnsi="Times New Roman" w:cs="Times New Roman" w:hint="eastAsia"/>
          <w:sz w:val="24"/>
          <w:szCs w:val="24"/>
        </w:rPr>
        <w:t xml:space="preserve"> </w:t>
      </w:r>
    </w:p>
    <w:p w:rsidR="000B609E" w:rsidRDefault="00B220E1">
      <w:pPr>
        <w:pStyle w:val="11"/>
        <w:numPr>
          <w:ilvl w:val="0"/>
          <w:numId w:val="12"/>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Business combination </w:t>
      </w:r>
      <w:r>
        <w:rPr>
          <w:rFonts w:ascii="Times New Roman" w:hAnsi="Times New Roman" w:cs="Times New Roman" w:hint="eastAsia"/>
          <w:sz w:val="24"/>
          <w:szCs w:val="24"/>
        </w:rPr>
        <w:t xml:space="preserve">not </w:t>
      </w:r>
      <w:r>
        <w:rPr>
          <w:rFonts w:ascii="Times New Roman" w:hAnsi="Times New Roman" w:cs="Times New Roman"/>
          <w:sz w:val="24"/>
          <w:szCs w:val="24"/>
        </w:rPr>
        <w:t>under common control</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enterprises participating in the merger are not ultimately controlled by the same party or the same parties before and after the merger</w:t>
      </w:r>
      <w:r>
        <w:rPr>
          <w:rFonts w:ascii="Times New Roman" w:hAnsi="Times New Roman" w:cs="Times New Roman" w:hint="eastAsia"/>
          <w:sz w:val="24"/>
          <w:szCs w:val="24"/>
        </w:rPr>
        <w:t>,</w:t>
      </w:r>
      <w:r>
        <w:rPr>
          <w:rFonts w:ascii="Times New Roman" w:hAnsi="Times New Roman" w:cs="Times New Roman"/>
          <w:sz w:val="24"/>
          <w:szCs w:val="24"/>
        </w:rPr>
        <w:t xml:space="preserve"> the</w:t>
      </w:r>
      <w:r>
        <w:rPr>
          <w:rFonts w:ascii="Times New Roman" w:hAnsi="Times New Roman" w:cs="Times New Roman" w:hint="eastAsia"/>
          <w:sz w:val="24"/>
          <w:szCs w:val="24"/>
        </w:rPr>
        <w:t xml:space="preserve"> merger shall be a</w:t>
      </w:r>
      <w:r>
        <w:rPr>
          <w:rFonts w:ascii="Times New Roman" w:hAnsi="Times New Roman" w:cs="Times New Roman"/>
          <w:sz w:val="24"/>
          <w:szCs w:val="24"/>
        </w:rPr>
        <w:t xml:space="preserve"> business combination not under the </w:t>
      </w:r>
      <w:r>
        <w:rPr>
          <w:rFonts w:ascii="Times New Roman" w:hAnsi="Times New Roman" w:cs="Times New Roman" w:hint="eastAsia"/>
          <w:sz w:val="24"/>
          <w:szCs w:val="24"/>
        </w:rPr>
        <w:t>common</w:t>
      </w:r>
      <w:r>
        <w:rPr>
          <w:rFonts w:ascii="Times New Roman" w:hAnsi="Times New Roman" w:cs="Times New Roman"/>
          <w:sz w:val="24"/>
          <w:szCs w:val="24"/>
        </w:rPr>
        <w:t xml:space="preserve"> control. For a business combination not under the </w:t>
      </w:r>
      <w:r>
        <w:rPr>
          <w:rFonts w:ascii="Times New Roman" w:hAnsi="Times New Roman" w:cs="Times New Roman" w:hint="eastAsia"/>
          <w:sz w:val="24"/>
          <w:szCs w:val="24"/>
        </w:rPr>
        <w:t>common</w:t>
      </w:r>
      <w:r>
        <w:rPr>
          <w:rFonts w:ascii="Times New Roman" w:hAnsi="Times New Roman" w:cs="Times New Roman"/>
          <w:sz w:val="24"/>
          <w:szCs w:val="24"/>
        </w:rPr>
        <w:t xml:space="preserve"> control, the party that acquired control of the other participant</w:t>
      </w:r>
      <w:r>
        <w:rPr>
          <w:rFonts w:ascii="Times New Roman" w:hAnsi="Times New Roman" w:cs="Times New Roman" w:hint="eastAsia"/>
          <w:sz w:val="24"/>
          <w:szCs w:val="24"/>
        </w:rPr>
        <w:t>s</w:t>
      </w:r>
      <w:r>
        <w:rPr>
          <w:rFonts w:ascii="Times New Roman" w:hAnsi="Times New Roman" w:cs="Times New Roman"/>
          <w:sz w:val="24"/>
          <w:szCs w:val="24"/>
        </w:rPr>
        <w:t xml:space="preserve"> at the acquisition date is the </w:t>
      </w:r>
      <w:r>
        <w:rPr>
          <w:rFonts w:ascii="Times New Roman" w:hAnsi="Times New Roman" w:cs="Times New Roman" w:hint="eastAsia"/>
          <w:sz w:val="24"/>
          <w:szCs w:val="24"/>
        </w:rPr>
        <w:t>acquirer</w:t>
      </w:r>
      <w:r>
        <w:rPr>
          <w:rFonts w:ascii="Times New Roman" w:hAnsi="Times New Roman" w:cs="Times New Roman"/>
          <w:sz w:val="24"/>
          <w:szCs w:val="24"/>
        </w:rPr>
        <w:t xml:space="preserve">, and the other companies that participate in the merger are the </w:t>
      </w:r>
      <w:proofErr w:type="spellStart"/>
      <w:r>
        <w:rPr>
          <w:rFonts w:ascii="Times New Roman" w:hAnsi="Times New Roman" w:cs="Times New Roman" w:hint="eastAsia"/>
          <w:sz w:val="24"/>
          <w:szCs w:val="24"/>
        </w:rPr>
        <w:t>acquiree</w:t>
      </w:r>
      <w:proofErr w:type="spellEnd"/>
      <w:r>
        <w:rPr>
          <w:rFonts w:ascii="Times New Roman" w:hAnsi="Times New Roman" w:cs="Times New Roman"/>
          <w:sz w:val="24"/>
          <w:szCs w:val="24"/>
        </w:rPr>
        <w:t>. The acquisition date is the date on which the acquirer actually obtained control of the</w:t>
      </w:r>
      <w:r>
        <w:t xml:space="preserve"> </w:t>
      </w:r>
      <w:proofErr w:type="spellStart"/>
      <w:r>
        <w:rPr>
          <w:rFonts w:ascii="Times New Roman" w:hAnsi="Times New Roman" w:cs="Times New Roman"/>
          <w:sz w:val="24"/>
          <w:szCs w:val="24"/>
        </w:rPr>
        <w:t>acquiree</w:t>
      </w:r>
      <w:proofErr w:type="spellEnd"/>
      <w:r>
        <w:rPr>
          <w:rFonts w:ascii="Times New Roman" w:hAnsi="Times New Roman" w:cs="Times New Roman"/>
          <w:sz w:val="24"/>
          <w:szCs w:val="24"/>
        </w:rPr>
        <w: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merger cost refers to </w:t>
      </w:r>
      <w:r>
        <w:rPr>
          <w:rFonts w:ascii="Times New Roman" w:hAnsi="Times New Roman" w:cs="Times New Roman" w:hint="eastAsia"/>
          <w:sz w:val="24"/>
          <w:szCs w:val="24"/>
        </w:rPr>
        <w:t>asset</w:t>
      </w:r>
      <w:r>
        <w:rPr>
          <w:rFonts w:ascii="Times New Roman" w:hAnsi="Times New Roman" w:cs="Times New Roman"/>
          <w:sz w:val="24"/>
          <w:szCs w:val="24"/>
        </w:rPr>
        <w:t xml:space="preserve"> paid by the acquirer to obtain the control of the </w:t>
      </w:r>
      <w:proofErr w:type="spellStart"/>
      <w:r>
        <w:rPr>
          <w:rFonts w:ascii="Times New Roman" w:hAnsi="Times New Roman" w:cs="Times New Roman"/>
          <w:sz w:val="24"/>
          <w:szCs w:val="24"/>
        </w:rPr>
        <w:t>acquiree</w:t>
      </w:r>
      <w:proofErr w:type="spellEnd"/>
      <w:r>
        <w:rPr>
          <w:rFonts w:ascii="Times New Roman" w:hAnsi="Times New Roman" w:cs="Times New Roman" w:hint="eastAsia"/>
          <w:sz w:val="24"/>
          <w:szCs w:val="24"/>
        </w:rPr>
        <w:t>;</w:t>
      </w:r>
      <w:r>
        <w:rPr>
          <w:rFonts w:ascii="Times New Roman" w:hAnsi="Times New Roman" w:cs="Times New Roman"/>
          <w:sz w:val="24"/>
          <w:szCs w:val="24"/>
        </w:rPr>
        <w:t xml:space="preserve"> the liabilities assumed</w:t>
      </w:r>
      <w:r>
        <w:rPr>
          <w:rFonts w:ascii="Times New Roman" w:hAnsi="Times New Roman" w:cs="Times New Roman" w:hint="eastAsia"/>
          <w:sz w:val="24"/>
          <w:szCs w:val="24"/>
        </w:rPr>
        <w:t xml:space="preserve"> by acquirer </w:t>
      </w:r>
      <w:r>
        <w:rPr>
          <w:rFonts w:ascii="Times New Roman" w:hAnsi="Times New Roman" w:cs="Times New Roman"/>
          <w:sz w:val="24"/>
          <w:szCs w:val="24"/>
        </w:rPr>
        <w:t>and the fair value of the equity instruments issued</w:t>
      </w:r>
      <w:r>
        <w:rPr>
          <w:rFonts w:ascii="Times New Roman" w:hAnsi="Times New Roman" w:cs="Times New Roman" w:hint="eastAsia"/>
          <w:sz w:val="24"/>
          <w:szCs w:val="24"/>
        </w:rPr>
        <w:t xml:space="preserve"> for </w:t>
      </w:r>
      <w:r>
        <w:rPr>
          <w:rFonts w:ascii="Times New Roman" w:hAnsi="Times New Roman" w:cs="Times New Roman"/>
          <w:sz w:val="24"/>
          <w:szCs w:val="24"/>
        </w:rPr>
        <w:t xml:space="preserve">acquisition. The expenses </w:t>
      </w:r>
      <w:r>
        <w:rPr>
          <w:rFonts w:ascii="Times New Roman" w:hAnsi="Times New Roman" w:cs="Times New Roman" w:hint="eastAsia"/>
          <w:sz w:val="24"/>
          <w:szCs w:val="24"/>
        </w:rPr>
        <w:t xml:space="preserve">that paid by </w:t>
      </w:r>
      <w:r>
        <w:rPr>
          <w:rFonts w:ascii="Times New Roman" w:hAnsi="Times New Roman" w:cs="Times New Roman"/>
          <w:sz w:val="24"/>
          <w:szCs w:val="24"/>
        </w:rPr>
        <w:t>acquirer</w:t>
      </w:r>
      <w:r>
        <w:rPr>
          <w:rFonts w:ascii="Times New Roman" w:hAnsi="Times New Roman" w:cs="Times New Roman" w:hint="eastAsia"/>
          <w:sz w:val="24"/>
          <w:szCs w:val="24"/>
        </w:rPr>
        <w:t xml:space="preserve"> for </w:t>
      </w:r>
      <w:r>
        <w:rPr>
          <w:rFonts w:ascii="Times New Roman" w:hAnsi="Times New Roman" w:cs="Times New Roman"/>
          <w:sz w:val="24"/>
          <w:szCs w:val="24"/>
        </w:rPr>
        <w:t>business combination</w:t>
      </w:r>
      <w:r>
        <w:rPr>
          <w:rFonts w:ascii="Times New Roman" w:hAnsi="Times New Roman" w:cs="Times New Roman" w:hint="eastAsia"/>
          <w:sz w:val="24"/>
          <w:szCs w:val="24"/>
        </w:rPr>
        <w:t xml:space="preserve"> </w:t>
      </w:r>
      <w:r>
        <w:rPr>
          <w:rFonts w:ascii="Times New Roman" w:hAnsi="Times New Roman" w:cs="Times New Roman"/>
          <w:sz w:val="24"/>
          <w:szCs w:val="24"/>
        </w:rPr>
        <w:t>shall be recorded in the current profit or loss</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such as audit, legal service, assessment and consultation and other related management expenses. If a business combination under a different control is achieved step by step through multiple transactions, the merger cost is the sum of the fair value of the consideration paid on the acquisition date and the fair value of the equity of the </w:t>
      </w:r>
      <w:proofErr w:type="spellStart"/>
      <w:r>
        <w:rPr>
          <w:rFonts w:ascii="Times New Roman" w:hAnsi="Times New Roman" w:cs="Times New Roman"/>
          <w:sz w:val="24"/>
          <w:szCs w:val="24"/>
        </w:rPr>
        <w:t>acquiree</w:t>
      </w:r>
      <w:proofErr w:type="spellEnd"/>
      <w:r>
        <w:rPr>
          <w:rFonts w:ascii="Times New Roman" w:hAnsi="Times New Roman" w:cs="Times New Roman"/>
          <w:sz w:val="24"/>
          <w:szCs w:val="24"/>
        </w:rPr>
        <w:t xml:space="preserve"> held before the acquisition date. For the equity of the </w:t>
      </w:r>
      <w:proofErr w:type="spellStart"/>
      <w:r>
        <w:rPr>
          <w:rFonts w:ascii="Times New Roman" w:hAnsi="Times New Roman" w:cs="Times New Roman"/>
          <w:sz w:val="24"/>
          <w:szCs w:val="24"/>
        </w:rPr>
        <w:t>acquiree</w:t>
      </w:r>
      <w:proofErr w:type="spellEnd"/>
      <w:r>
        <w:rPr>
          <w:rFonts w:ascii="Times New Roman" w:hAnsi="Times New Roman" w:cs="Times New Roman"/>
          <w:sz w:val="24"/>
          <w:szCs w:val="24"/>
        </w:rPr>
        <w:t xml:space="preserve"> that has been held before the acquisition date, the fair value will be re-measured</w:t>
      </w:r>
      <w:r>
        <w:rPr>
          <w:rFonts w:ascii="Times New Roman" w:hAnsi="Times New Roman" w:cs="Times New Roman" w:hint="eastAsia"/>
          <w:sz w:val="24"/>
          <w:szCs w:val="24"/>
        </w:rPr>
        <w:t xml:space="preserve"> on acquisition date</w:t>
      </w:r>
      <w:r>
        <w:rPr>
          <w:rFonts w:ascii="Times New Roman" w:hAnsi="Times New Roman" w:cs="Times New Roman"/>
          <w:sz w:val="24"/>
          <w:szCs w:val="24"/>
        </w:rPr>
        <w:t xml:space="preserve">. The difference between the fair value and its book value is </w:t>
      </w:r>
      <w:r>
        <w:rPr>
          <w:rFonts w:ascii="Times New Roman" w:hAnsi="Times New Roman" w:cs="Times New Roman" w:hint="eastAsia"/>
          <w:sz w:val="24"/>
          <w:szCs w:val="24"/>
        </w:rPr>
        <w:t>recorded</w:t>
      </w:r>
      <w:r>
        <w:rPr>
          <w:rFonts w:ascii="Times New Roman" w:hAnsi="Times New Roman" w:cs="Times New Roman"/>
          <w:sz w:val="24"/>
          <w:szCs w:val="24"/>
        </w:rPr>
        <w:t xml:space="preserve"> in the investment income </w:t>
      </w:r>
      <w:r>
        <w:rPr>
          <w:rFonts w:ascii="Times New Roman" w:hAnsi="Times New Roman" w:cs="Times New Roman" w:hint="eastAsia"/>
          <w:sz w:val="24"/>
          <w:szCs w:val="24"/>
        </w:rPr>
        <w:t>in</w:t>
      </w:r>
      <w:r>
        <w:rPr>
          <w:rFonts w:ascii="Times New Roman" w:hAnsi="Times New Roman" w:cs="Times New Roman"/>
          <w:sz w:val="24"/>
          <w:szCs w:val="24"/>
        </w:rPr>
        <w:t xml:space="preserve"> the current period</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If </w:t>
      </w:r>
      <w:r>
        <w:rPr>
          <w:rFonts w:ascii="Times New Roman" w:hAnsi="Times New Roman" w:cs="Times New Roman"/>
          <w:sz w:val="24"/>
          <w:szCs w:val="24"/>
        </w:rPr>
        <w:t>the acquire</w:t>
      </w:r>
      <w:r>
        <w:rPr>
          <w:rFonts w:ascii="Times New Roman" w:hAnsi="Times New Roman" w:cs="Times New Roman" w:hint="eastAsia"/>
          <w:sz w:val="24"/>
          <w:szCs w:val="24"/>
        </w:rPr>
        <w:t>r</w:t>
      </w:r>
      <w:r>
        <w:rPr>
          <w:rFonts w:ascii="Times New Roman" w:hAnsi="Times New Roman" w:cs="Times New Roman"/>
          <w:sz w:val="24"/>
          <w:szCs w:val="24"/>
        </w:rPr>
        <w:t xml:space="preserve"> already held equity</w:t>
      </w:r>
      <w:r>
        <w:rPr>
          <w:rFonts w:ascii="Times New Roman" w:hAnsi="Times New Roman" w:cs="Times New Roman" w:hint="eastAsia"/>
          <w:sz w:val="24"/>
          <w:szCs w:val="24"/>
        </w:rPr>
        <w:t xml:space="preserve"> of </w:t>
      </w:r>
      <w:proofErr w:type="spellStart"/>
      <w:r>
        <w:rPr>
          <w:rFonts w:ascii="Times New Roman" w:hAnsi="Times New Roman" w:cs="Times New Roman" w:hint="eastAsia"/>
          <w:sz w:val="24"/>
          <w:szCs w:val="24"/>
        </w:rPr>
        <w:t>acquiree</w:t>
      </w:r>
      <w:proofErr w:type="spellEnd"/>
      <w:r>
        <w:rPr>
          <w:rFonts w:ascii="Times New Roman" w:hAnsi="Times New Roman" w:cs="Times New Roman"/>
          <w:sz w:val="24"/>
          <w:szCs w:val="24"/>
        </w:rPr>
        <w:t xml:space="preserve"> </w:t>
      </w:r>
      <w:r>
        <w:rPr>
          <w:rFonts w:ascii="Times New Roman" w:hAnsi="Times New Roman" w:cs="Times New Roman" w:hint="eastAsia"/>
          <w:sz w:val="24"/>
          <w:szCs w:val="24"/>
        </w:rPr>
        <w:t>that related to</w:t>
      </w:r>
      <w:r>
        <w:rPr>
          <w:rFonts w:ascii="Times New Roman" w:hAnsi="Times New Roman" w:cs="Times New Roman"/>
          <w:sz w:val="24"/>
          <w:szCs w:val="24"/>
        </w:rPr>
        <w:t xml:space="preserve"> other comprehensive income</w:t>
      </w:r>
      <w:r>
        <w:rPr>
          <w:rFonts w:ascii="Times New Roman" w:hAnsi="Times New Roman" w:cs="Times New Roman" w:hint="eastAsia"/>
          <w:sz w:val="24"/>
          <w:szCs w:val="24"/>
        </w:rPr>
        <w:t xml:space="preserve"> before the acquisition date</w:t>
      </w:r>
      <w:r>
        <w:rPr>
          <w:rFonts w:ascii="Times New Roman" w:hAnsi="Times New Roman" w:cs="Times New Roman"/>
          <w:sz w:val="24"/>
          <w:szCs w:val="24"/>
        </w:rPr>
        <w:t xml:space="preserve">, the other comprehensive income related to </w:t>
      </w:r>
      <w:r>
        <w:rPr>
          <w:rFonts w:ascii="Times New Roman" w:hAnsi="Times New Roman" w:cs="Times New Roman" w:hint="eastAsia"/>
          <w:sz w:val="24"/>
          <w:szCs w:val="24"/>
        </w:rPr>
        <w:t>the equity</w:t>
      </w:r>
      <w:r>
        <w:rPr>
          <w:rFonts w:ascii="Times New Roman" w:hAnsi="Times New Roman" w:cs="Times New Roman"/>
          <w:sz w:val="24"/>
          <w:szCs w:val="24"/>
        </w:rPr>
        <w:t xml:space="preserve"> will be transferred</w:t>
      </w:r>
      <w:r>
        <w:rPr>
          <w:rFonts w:ascii="Times New Roman" w:hAnsi="Times New Roman" w:cs="Times New Roman" w:hint="eastAsia"/>
          <w:sz w:val="24"/>
          <w:szCs w:val="24"/>
        </w:rPr>
        <w:t xml:space="preserve"> to</w:t>
      </w:r>
      <w:r>
        <w:rPr>
          <w:rFonts w:ascii="Times New Roman" w:hAnsi="Times New Roman" w:cs="Times New Roman"/>
          <w:sz w:val="24"/>
          <w:szCs w:val="24"/>
        </w:rPr>
        <w:t xml:space="preserve"> the current investment income on the</w:t>
      </w:r>
      <w:r>
        <w:t xml:space="preserve"> </w:t>
      </w:r>
      <w:r>
        <w:rPr>
          <w:rFonts w:ascii="Times New Roman" w:hAnsi="Times New Roman" w:cs="Times New Roman"/>
          <w:sz w:val="24"/>
          <w:szCs w:val="24"/>
        </w:rPr>
        <w:t>acquisition date.</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In a business combination not under common control, the identifiable net assets obtained by the acquirer are measured at the fair value of the identifiable assets, </w:t>
      </w:r>
      <w:r>
        <w:rPr>
          <w:rFonts w:ascii="Times New Roman" w:hAnsi="Times New Roman" w:cs="Times New Roman"/>
          <w:sz w:val="24"/>
          <w:szCs w:val="24"/>
        </w:rPr>
        <w:lastRenderedPageBreak/>
        <w:t xml:space="preserve">liabilities and contingent liabilities at the acquisition date. If the merger cost of the acquirer is greater than the fair value of the identifiable net assets of the </w:t>
      </w:r>
      <w:proofErr w:type="spellStart"/>
      <w:r>
        <w:rPr>
          <w:rFonts w:ascii="Times New Roman" w:hAnsi="Times New Roman" w:cs="Times New Roman"/>
          <w:sz w:val="24"/>
          <w:szCs w:val="24"/>
        </w:rPr>
        <w:t>acquiree</w:t>
      </w:r>
      <w:proofErr w:type="spellEnd"/>
      <w:r>
        <w:rPr>
          <w:rFonts w:ascii="Times New Roman" w:hAnsi="Times New Roman" w:cs="Times New Roman"/>
          <w:sz w:val="24"/>
          <w:szCs w:val="24"/>
        </w:rPr>
        <w:t>, th</w:t>
      </w:r>
      <w:r>
        <w:rPr>
          <w:rFonts w:ascii="Times New Roman" w:hAnsi="Times New Roman" w:cs="Times New Roman" w:hint="eastAsia"/>
          <w:sz w:val="24"/>
          <w:szCs w:val="24"/>
        </w:rPr>
        <w:t>is</w:t>
      </w:r>
      <w:r>
        <w:rPr>
          <w:rFonts w:ascii="Times New Roman" w:hAnsi="Times New Roman" w:cs="Times New Roman"/>
          <w:sz w:val="24"/>
          <w:szCs w:val="24"/>
        </w:rPr>
        <w:t xml:space="preserve"> difference is recognized as goodwill. Goodwill is measured at cost less accumulated impairment losses</w:t>
      </w:r>
      <w:r>
        <w:rPr>
          <w:rFonts w:ascii="Times New Roman" w:hAnsi="Times New Roman" w:cs="Times New Roman" w:hint="eastAsia"/>
          <w:sz w:val="24"/>
          <w:szCs w:val="24"/>
        </w:rPr>
        <w:t xml:space="preserve"> on it.</w:t>
      </w:r>
      <w:r>
        <w:rPr>
          <w:rFonts w:ascii="Times New Roman" w:hAnsi="Times New Roman" w:cs="Times New Roman"/>
          <w:sz w:val="24"/>
          <w:szCs w:val="24"/>
        </w:rPr>
        <w:t xml:space="preserve"> </w:t>
      </w:r>
      <w:r>
        <w:rPr>
          <w:rFonts w:ascii="Times New Roman" w:hAnsi="Times New Roman" w:cs="Times New Roman" w:hint="eastAsia"/>
          <w:sz w:val="24"/>
          <w:szCs w:val="24"/>
        </w:rPr>
        <w:t>T</w:t>
      </w:r>
      <w:r>
        <w:rPr>
          <w:rFonts w:ascii="Times New Roman" w:hAnsi="Times New Roman" w:cs="Times New Roman"/>
          <w:sz w:val="24"/>
          <w:szCs w:val="24"/>
        </w:rPr>
        <w:t xml:space="preserve">he combined costs are less than </w:t>
      </w:r>
      <w:r>
        <w:rPr>
          <w:rFonts w:ascii="Times New Roman" w:hAnsi="Times New Roman" w:cs="Times New Roman" w:hint="eastAsia"/>
          <w:sz w:val="24"/>
          <w:szCs w:val="24"/>
        </w:rPr>
        <w:t xml:space="preserve">the fair value of </w:t>
      </w:r>
      <w:r>
        <w:rPr>
          <w:rFonts w:ascii="Times New Roman" w:hAnsi="Times New Roman" w:cs="Times New Roman"/>
          <w:sz w:val="24"/>
          <w:szCs w:val="24"/>
        </w:rPr>
        <w:t>those</w:t>
      </w:r>
      <w:r>
        <w:rPr>
          <w:rFonts w:ascii="Times New Roman" w:hAnsi="Times New Roman" w:cs="Times New Roman" w:hint="eastAsia"/>
          <w:sz w:val="24"/>
          <w:szCs w:val="24"/>
        </w:rPr>
        <w:t xml:space="preserve"> assets</w:t>
      </w:r>
      <w:r>
        <w:rPr>
          <w:rFonts w:ascii="Times New Roman" w:hAnsi="Times New Roman" w:cs="Times New Roman"/>
          <w:sz w:val="24"/>
          <w:szCs w:val="24"/>
        </w:rPr>
        <w:t xml:space="preserve">. When the purchased party can identify the fair value of the net assets, it </w:t>
      </w:r>
      <w:r>
        <w:rPr>
          <w:rFonts w:ascii="Times New Roman" w:hAnsi="Times New Roman" w:cs="Times New Roman" w:hint="eastAsia"/>
          <w:sz w:val="24"/>
          <w:szCs w:val="24"/>
        </w:rPr>
        <w:t>should</w:t>
      </w:r>
      <w:r>
        <w:rPr>
          <w:rFonts w:ascii="Times New Roman" w:hAnsi="Times New Roman" w:cs="Times New Roman"/>
          <w:sz w:val="24"/>
          <w:szCs w:val="24"/>
        </w:rPr>
        <w:t xml:space="preserve"> review the measured fair value of the identifiable net assets of the </w:t>
      </w:r>
      <w:proofErr w:type="spellStart"/>
      <w:r>
        <w:rPr>
          <w:rFonts w:ascii="Times New Roman" w:hAnsi="Times New Roman" w:cs="Times New Roman"/>
          <w:sz w:val="24"/>
          <w:szCs w:val="24"/>
        </w:rPr>
        <w:t>acquire</w:t>
      </w:r>
      <w:r>
        <w:rPr>
          <w:rFonts w:ascii="Times New Roman" w:hAnsi="Times New Roman" w:cs="Times New Roman" w:hint="eastAsia"/>
          <w:sz w:val="24"/>
          <w:szCs w:val="24"/>
        </w:rPr>
        <w:t>e</w:t>
      </w:r>
      <w:proofErr w:type="spellEnd"/>
      <w:r>
        <w:rPr>
          <w:rFonts w:ascii="Times New Roman" w:hAnsi="Times New Roman" w:cs="Times New Roman"/>
          <w:sz w:val="24"/>
          <w:szCs w:val="24"/>
        </w:rPr>
        <w:t xml:space="preserve"> and the combined costs. </w:t>
      </w:r>
      <w:r>
        <w:rPr>
          <w:rFonts w:ascii="Times New Roman" w:hAnsi="Times New Roman" w:cs="Times New Roman" w:hint="eastAsia"/>
          <w:sz w:val="24"/>
          <w:szCs w:val="24"/>
        </w:rPr>
        <w:t xml:space="preserve">If </w:t>
      </w:r>
      <w:r>
        <w:rPr>
          <w:rFonts w:ascii="Times New Roman" w:hAnsi="Times New Roman" w:cs="Times New Roman"/>
          <w:sz w:val="24"/>
          <w:szCs w:val="24"/>
        </w:rPr>
        <w:t xml:space="preserve">the combined costs are still less than the net identifiable value of the </w:t>
      </w:r>
      <w:proofErr w:type="spellStart"/>
      <w:r>
        <w:rPr>
          <w:rFonts w:ascii="Times New Roman" w:hAnsi="Times New Roman" w:cs="Times New Roman" w:hint="eastAsia"/>
          <w:sz w:val="24"/>
          <w:szCs w:val="24"/>
        </w:rPr>
        <w:t>acquiree</w:t>
      </w:r>
      <w:proofErr w:type="spellEnd"/>
      <w:r>
        <w:t xml:space="preserve"> </w:t>
      </w:r>
      <w:r>
        <w:rPr>
          <w:rFonts w:ascii="Times New Roman" w:hAnsi="Times New Roman" w:cs="Times New Roman" w:hint="eastAsia"/>
          <w:sz w:val="24"/>
          <w:szCs w:val="24"/>
        </w:rPr>
        <w:t>a</w:t>
      </w:r>
      <w:r>
        <w:rPr>
          <w:rFonts w:ascii="Times New Roman" w:hAnsi="Times New Roman" w:cs="Times New Roman"/>
          <w:sz w:val="24"/>
          <w:szCs w:val="24"/>
        </w:rPr>
        <w:t>fter the review</w:t>
      </w:r>
      <w:r>
        <w:rPr>
          <w:rFonts w:ascii="Times New Roman" w:hAnsi="Times New Roman" w:cs="Times New Roman" w:hint="eastAsia"/>
          <w:sz w:val="24"/>
          <w:szCs w:val="24"/>
        </w:rPr>
        <w:t>,</w:t>
      </w:r>
      <w:r>
        <w:rPr>
          <w:rFonts w:ascii="Times New Roman" w:hAnsi="Times New Roman" w:cs="Times New Roman"/>
          <w:sz w:val="24"/>
          <w:szCs w:val="24"/>
        </w:rPr>
        <w:t xml:space="preserve"> the difference is </w:t>
      </w:r>
      <w:r>
        <w:rPr>
          <w:rFonts w:ascii="Times New Roman" w:hAnsi="Times New Roman" w:cs="Times New Roman" w:hint="eastAsia"/>
          <w:sz w:val="24"/>
          <w:szCs w:val="24"/>
        </w:rPr>
        <w:t>recorded</w:t>
      </w:r>
      <w:r>
        <w:rPr>
          <w:rFonts w:ascii="Times New Roman" w:hAnsi="Times New Roman" w:cs="Times New Roman"/>
          <w:sz w:val="24"/>
          <w:szCs w:val="24"/>
        </w:rPr>
        <w:t xml:space="preserve"> in the current profit or loss.</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6. Preparation of consolidated financial statements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scope of consolidation is determined on the basis of control. The consolidated financial statements include the financial statements of the Company and all its subsidiaries.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 subsidiary is an entity (including a structured entity) over which the Group has control. The Group controls an entity when the Group is exposed, or has rights, to variable returns from its involvement with the investee and has the ability to affect those returns through its power over the investee. Subsidiaries are consolidated from the date on which control is transferred to the Group. They are deconsolidated from the date that control ceases.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 structured entity is an entity that has been designed so that voting rights or similar rights are not the dominant factor in deciding who controls the investee, such as when any voting rights relate to administrative tasks only and the relevant activities are directed by means of contractual or relative arrangements.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determines whether it is an agent or a principle in relation to those structured entities in which the Group acts as an asset manager. If an asset manager is an agent, it acts primarily on behalf of others (other investors in the structured entity) and so do not control the structured entity. Otherwise, it may be a principle if it acts primarily for itself, and therefore controls the structured entity.</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lastRenderedPageBreak/>
        <w:t>In preparing the consolidated financial statements, where the accounting policies and the accounting periods of the Company and subsidiaries are inconsistent, the financial statements of the subsidiaries are adjusted in accordance with the accounting policies and the accounting period of the Company. For subsidiaries acquired from business combinations involving enterprises not under common control, the individual financial statements of the subsidiaries are adjusted based on the fair value of the identifiable net assets at the acquisition date. All significant intra-group balances, transactions and unrealized profits are eliminated in the consolidated financial statements. The portion of subsidiaries’ equity, net profits and losses and total comprehensive incomes for the period not attributable to Company are recognized as minority interests and presented separately in the consolidated financial statements under equity, net profits and total comprehensive income respectively. Unrealized profits and losses resulting from the sale of assets by the Company to its subsidiaries are fully eliminated against net profit attributable to owners of the parent. Unrealized profits and losses resulting from the sale of assets by a subsidiary to the Company are eliminated and allocated between net profit attributable to shareholders of the parent and minority interests in accordance with the allocation proportion of the parent company in the subsidiary. Unrealized profits and losses resulting from the sale of assets by one subsidiary to another are eliminated and allocated between net profit attributable to shareholders of the parent company and minority interests in accordance with the allocation proportion of the parent company in the subsidiary. Unrealized profits and losses resulting from the sale of assets by one subsidiary to another are eliminated and allocated between net profit attributable to shareholders of the parent company and minority interests in accordance with the allocation proportion of the parent company in the subsidiary.</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accounting treatment of a transaction which considers the Group as an accounting entity is different from that considers the Company or its subsidiaries as an accounting entity, it is adjusted from the perspective of the Group.</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lastRenderedPageBreak/>
        <w:t>If the subsidiaries’ loss of current period attributed to the minority shareholders exceed the minority interest brought down, the amount will be deducted from the minority interest.</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7. Cash and cash equivalents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Cash and cash equivalents comprise cash on hand, deposits that can be readily drawn on demand, and short-term highly liquid investments that are readily convertible to known amounts of cash and are subject to an insignificant risk of changes in value, including cash, excess reserves with the central bank, due from and placements with other banks and financial institutions within original maturities no more than three months.</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8. Foreign currency translation</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Foreign currency transactions are translated into the functional currency using the exchange rate prevailing at the date of the transaction.</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At the balance sheet date, monetary items denominated in foreign currencies are translated into RMB using the spot exchange rates on the balance sheet date. Changes in the fair value of monetary securities denominated in foreign currency classified as available-for-sale are analyzed between translation differences resulting from changes in the amortized cost of the security and other changes in the carrying amount of security. Translation differences related to changes in amortized cost are recognized in profit or loss, and other changes in carrying amount are recognized in other comprehensive income. Non-monetary items denominated in foreign currencies that are measured at historical costs are translated at the balance sheet date using the spot exchange rates at the date of the transactions. The effect of exchange rate changes on cash is presented separately in the cash flow statement.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Non-monetary assets and liabilities that are measured at fair value are translated using the exchange rates at the date the fair value is determined. Translation </w:t>
      </w:r>
      <w:r>
        <w:rPr>
          <w:rFonts w:ascii="Times New Roman" w:hAnsi="Times New Roman" w:cs="Times New Roman"/>
          <w:sz w:val="24"/>
          <w:szCs w:val="24"/>
        </w:rPr>
        <w:lastRenderedPageBreak/>
        <w:t>differences on non-monetary financial assets classified as available-for-sale are recognized in other comprehensive income. Translation differences on non-monetary financial assets and liabilities held at fair value through profit or loss are recognized in the profit or loss.</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9. Financial instruments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Financial instruments refer to the contracts that form the financial assets of an enterprise and the financial liabilities or equity instruments of other units.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hint="eastAsia"/>
          <w:sz w:val="24"/>
          <w:szCs w:val="24"/>
        </w:rPr>
        <w:t>Initial confirmation and measurement of financial instruments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Financial assets and financial liabilities are recognized when a group entity becomes a party to the contractual provisions of the instrument.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Financial assets and financial liabilities are initially measured at fair value. For the financial assets and liabilities measured at fair value, whose movements are included in current profit and loss, the transaction costs are recognized immediately in current profit or loss. For the other types of financial assets and liabilities, related transaction costs are recognized in initial measurement.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hint="eastAsia"/>
          <w:sz w:val="24"/>
          <w:szCs w:val="24"/>
        </w:rPr>
        <w:t xml:space="preserve">Classification of financial assets </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According to the financial assets</w:t>
      </w:r>
      <w:r>
        <w:rPr>
          <w:rFonts w:ascii="Times New Roman" w:hAnsi="Times New Roman" w:cs="Times New Roman"/>
          <w:sz w:val="24"/>
          <w:szCs w:val="24"/>
        </w:rPr>
        <w:t>’</w:t>
      </w:r>
      <w:r>
        <w:rPr>
          <w:rFonts w:ascii="Times New Roman" w:hAnsi="Times New Roman" w:cs="Times New Roman" w:hint="eastAsia"/>
          <w:sz w:val="24"/>
          <w:szCs w:val="24"/>
        </w:rPr>
        <w:t xml:space="preserve"> contractual cash flow characteristics and the Group</w:t>
      </w:r>
      <w:r>
        <w:rPr>
          <w:rFonts w:ascii="Times New Roman" w:hAnsi="Times New Roman" w:cs="Times New Roman"/>
          <w:sz w:val="24"/>
          <w:szCs w:val="24"/>
        </w:rPr>
        <w:t>’</w:t>
      </w:r>
      <w:r>
        <w:rPr>
          <w:rFonts w:ascii="Times New Roman" w:hAnsi="Times New Roman" w:cs="Times New Roman" w:hint="eastAsia"/>
          <w:sz w:val="24"/>
          <w:szCs w:val="24"/>
        </w:rPr>
        <w:t>s business model, the group divides financial assets into the following three categories: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Financial assets measured at amortized cost;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Financial assets measured at fair value through the other comprehensive income;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Financial assets measured at fair value through current profit and loss.</w:t>
      </w:r>
    </w:p>
    <w:p w:rsidR="000B609E" w:rsidRDefault="000B609E">
      <w:pPr>
        <w:spacing w:after="156" w:line="360" w:lineRule="auto"/>
        <w:ind w:firstLine="480"/>
        <w:rPr>
          <w:rFonts w:ascii="Times New Roman" w:hAnsi="Times New Roman" w:cs="Times New Roman"/>
          <w:sz w:val="24"/>
          <w:szCs w:val="24"/>
        </w:rPr>
      </w:pP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lastRenderedPageBreak/>
        <w:t>The classification of financial assets at initial recognition depends on the financial assets</w:t>
      </w:r>
      <w:r>
        <w:rPr>
          <w:rFonts w:ascii="Times New Roman" w:hAnsi="Times New Roman" w:cs="Times New Roman"/>
          <w:sz w:val="24"/>
          <w:szCs w:val="24"/>
        </w:rPr>
        <w:t>’</w:t>
      </w:r>
      <w:r>
        <w:rPr>
          <w:rFonts w:ascii="Times New Roman" w:hAnsi="Times New Roman" w:cs="Times New Roman" w:hint="eastAsia"/>
          <w:sz w:val="24"/>
          <w:szCs w:val="24"/>
        </w:rPr>
        <w:t xml:space="preserve"> contractual cash flow characteristics and the Group</w:t>
      </w:r>
      <w:r>
        <w:rPr>
          <w:rFonts w:ascii="Times New Roman" w:hAnsi="Times New Roman" w:cs="Times New Roman"/>
          <w:sz w:val="24"/>
          <w:szCs w:val="24"/>
        </w:rPr>
        <w:t>’</w:t>
      </w:r>
      <w:r>
        <w:rPr>
          <w:rFonts w:ascii="Times New Roman" w:hAnsi="Times New Roman" w:cs="Times New Roman" w:hint="eastAsia"/>
          <w:sz w:val="24"/>
          <w:szCs w:val="24"/>
        </w:rPr>
        <w:t>s business model for managing them.</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Business model reflects how the group manages its financial assets to generate cash flow.</w:t>
      </w:r>
      <w:r>
        <w:rPr>
          <w:rFonts w:ascii="Times New Roman" w:hAnsi="Times New Roman" w:cs="Times New Roman"/>
          <w:sz w:val="24"/>
          <w:szCs w:val="24"/>
        </w:rPr>
        <w:t xml:space="preserve"> </w:t>
      </w:r>
      <w:r>
        <w:rPr>
          <w:rFonts w:ascii="Times New Roman" w:hAnsi="Times New Roman" w:cs="Times New Roman" w:hint="eastAsia"/>
          <w:sz w:val="24"/>
          <w:szCs w:val="24"/>
        </w:rPr>
        <w:t>The business model determines that the source of the cash flow of the financial assets managed by the group is the collection of contract cash flow, selling the financial assets,</w:t>
      </w:r>
      <w:r>
        <w:rPr>
          <w:rFonts w:ascii="Times New Roman" w:hAnsi="Times New Roman" w:cs="Times New Roman"/>
          <w:sz w:val="24"/>
          <w:szCs w:val="24"/>
        </w:rPr>
        <w:t xml:space="preserve"> </w:t>
      </w:r>
      <w:r>
        <w:rPr>
          <w:rFonts w:ascii="Times New Roman" w:hAnsi="Times New Roman" w:cs="Times New Roman" w:hint="eastAsia"/>
          <w:sz w:val="24"/>
          <w:szCs w:val="24"/>
        </w:rPr>
        <w:t>or both. The Group</w:t>
      </w:r>
      <w:r>
        <w:rPr>
          <w:rFonts w:ascii="Times New Roman" w:hAnsi="Times New Roman" w:cs="Times New Roman"/>
          <w:sz w:val="24"/>
          <w:szCs w:val="24"/>
        </w:rPr>
        <w:t>’</w:t>
      </w:r>
      <w:r>
        <w:rPr>
          <w:rFonts w:ascii="Times New Roman" w:hAnsi="Times New Roman" w:cs="Times New Roman" w:hint="eastAsia"/>
          <w:sz w:val="24"/>
          <w:szCs w:val="24"/>
        </w:rPr>
        <w:t xml:space="preserve">s assessment of business model is determined on the basis of scenarios which are reasonably expected to occur, </w:t>
      </w:r>
      <w:proofErr w:type="gramStart"/>
      <w:r>
        <w:rPr>
          <w:rFonts w:ascii="Times New Roman" w:hAnsi="Times New Roman" w:cs="Times New Roman" w:hint="eastAsia"/>
          <w:sz w:val="24"/>
          <w:szCs w:val="24"/>
        </w:rPr>
        <w:t>taking into account</w:t>
      </w:r>
      <w:proofErr w:type="gramEnd"/>
      <w:r>
        <w:rPr>
          <w:rFonts w:ascii="Times New Roman" w:hAnsi="Times New Roman" w:cs="Times New Roman" w:hint="eastAsia"/>
          <w:sz w:val="24"/>
          <w:szCs w:val="24"/>
        </w:rPr>
        <w:t>: how to collect the cash flow of this group of assets previously, how to evaluate performance of this group of assets and report to the entity</w:t>
      </w:r>
      <w:r>
        <w:rPr>
          <w:rFonts w:ascii="Times New Roman" w:hAnsi="Times New Roman" w:cs="Times New Roman"/>
          <w:sz w:val="24"/>
          <w:szCs w:val="24"/>
        </w:rPr>
        <w:t>’</w:t>
      </w:r>
      <w:r>
        <w:rPr>
          <w:rFonts w:ascii="Times New Roman" w:hAnsi="Times New Roman" w:cs="Times New Roman" w:hint="eastAsia"/>
          <w:sz w:val="24"/>
          <w:szCs w:val="24"/>
        </w:rPr>
        <w:t>s key management personnel, how to assess and manage risk and how managers of the business are compensated, etc.</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The contractual cash flow characteristics of financial assets refer to the cash flow attributes that reflect the economic characteristics of relevant financial assets stipulated in the contract of financial instruments. The contractual cash flow characteristics consistent with the basic lending arrangements means the fact that the contractual cash flow generated by the relevant financial instrument on a particular date is solely the payment of the principal and the interest on principal amount outstanding. Among them, the meaning of principal is the fair value of financial assets at initially recognition. The interest includes consideration of the credit risk associated with the time value of currency, for the amount of principal outstanding for a particular period, for the other basic lending risks and costs, as well as a profit margin. </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group classifies financial assets into measured at amortized cost or measured at fair value through other comprehensive income (debt instruments). The characteristics of contract cash flow are consistent with the basic lending arrangement.</w:t>
      </w:r>
    </w:p>
    <w:p w:rsidR="000B609E" w:rsidRDefault="000B609E">
      <w:pPr>
        <w:spacing w:after="156" w:line="360" w:lineRule="auto"/>
        <w:ind w:firstLine="480"/>
        <w:rPr>
          <w:rFonts w:ascii="Times New Roman" w:hAnsi="Times New Roman" w:cs="Times New Roman"/>
          <w:sz w:val="24"/>
          <w:szCs w:val="24"/>
        </w:rPr>
      </w:pP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lastRenderedPageBreak/>
        <w:t>When and only when changing the management business model of this group, all of the related financial assets will be reclassified through the new model, and from the first day of reclassification, prospective method would be adopted for the relevant accounting treatments. All previous gains, losses (including impairment gains and losses) or interests cannot be retroactively adjusted as well.</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group's classification of debt instrument assets and equity instrument assets is as follows</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-Debt instrument assets: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Group measures financial assets subsequently at amortized cost if both of the following conditions are met: the financial asset is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Group measures financial assets measured at fair value through other comprehensive income if both of the following conditions are met: the financial asset is held within a business model whose objective is achieved by both collecting contractual cash flows and selling the financial assets; the contractual terms of the financial asset give rise on specified dates to cash flows that are solely payments of principal and interest on the principal amount outstanding.</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Financial assets unless having been measured at amortized cost or been measured at fair value through other comprehensive income, would be designated as financial assets measured at fair value through current profit and loss.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In addition, if the measurement or recognition inconsistency can be eliminated or significantly reduced, the Group can designate financial assets as financial assets </w:t>
      </w:r>
      <w:r>
        <w:rPr>
          <w:rFonts w:ascii="Times New Roman" w:hAnsi="Times New Roman" w:cs="Times New Roman" w:hint="eastAsia"/>
          <w:sz w:val="24"/>
          <w:szCs w:val="24"/>
        </w:rPr>
        <w:lastRenderedPageBreak/>
        <w:t>measured at fair value through current profit and loss. At the same time, the designation cannot be deleted after being decided.</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-Equity instrument assets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Equity instrument assets means the instruments that meet the definitions of equity on the opinions of issuers. A </w:t>
      </w:r>
      <w:proofErr w:type="gramStart"/>
      <w:r>
        <w:rPr>
          <w:rFonts w:ascii="Times New Roman" w:hAnsi="Times New Roman" w:cs="Times New Roman" w:hint="eastAsia"/>
          <w:sz w:val="24"/>
          <w:szCs w:val="24"/>
        </w:rPr>
        <w:t>financial assets</w:t>
      </w:r>
      <w:proofErr w:type="gramEnd"/>
      <w:r>
        <w:rPr>
          <w:rFonts w:ascii="Times New Roman" w:hAnsi="Times New Roman" w:cs="Times New Roman" w:hint="eastAsia"/>
          <w:sz w:val="24"/>
          <w:szCs w:val="24"/>
        </w:rPr>
        <w:t xml:space="preserve"> would be recognized as an equity instrument asset if the following conditions could be meet at the same time: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financial instrument should not include neither the payment of cash or other financial assets to other parties, nor the contractual obligations of exchanging financial assets or liabilities with other parties under potentially unfavorable conditions;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In the future, the financial instrument must be settled with or available to the issuer's own equity instruments. If it is a non-derivative instrument, the financial instrument cannot include the contractual obligations that settled through the delivery of variable amount of its own equity instruments; if it is a derivative instrument, to settle the financial instrument, issuers can only exchange a fixed amount of their own equity instruments for a fixed amount of cash or other financial instruments.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All equity instrument investments of the group will be measured at fair value. The group designate non-transactional equity instruments as financial instruments measured at fair value through the other comprehensive income and present under </w:t>
      </w:r>
      <w:r>
        <w:rPr>
          <w:rFonts w:ascii="Times New Roman" w:hAnsi="Times New Roman" w:cs="Times New Roman"/>
          <w:sz w:val="24"/>
          <w:szCs w:val="24"/>
        </w:rPr>
        <w:t>“</w:t>
      </w:r>
      <w:r>
        <w:rPr>
          <w:rFonts w:ascii="Times New Roman" w:hAnsi="Times New Roman" w:cs="Times New Roman" w:hint="eastAsia"/>
          <w:sz w:val="24"/>
          <w:szCs w:val="24"/>
        </w:rPr>
        <w:t>Others</w:t>
      </w:r>
      <w:r>
        <w:rPr>
          <w:rFonts w:ascii="Times New Roman" w:hAnsi="Times New Roman" w:cs="Times New Roman"/>
          <w:sz w:val="24"/>
          <w:szCs w:val="24"/>
        </w:rPr>
        <w:t>”</w:t>
      </w:r>
      <w:r>
        <w:rPr>
          <w:rFonts w:ascii="Times New Roman" w:hAnsi="Times New Roman" w:cs="Times New Roman" w:hint="eastAsia"/>
          <w:sz w:val="24"/>
          <w:szCs w:val="24"/>
        </w:rPr>
        <w:t xml:space="preserve"> in balance sheet. After designating, the movements of its fair value will be recognized in other comprehensive income and cannot be reclassified into profit and loss (including disposal). Dividend income as a return on investment is recognized in profit and loss when the Group</w:t>
      </w:r>
      <w:r>
        <w:rPr>
          <w:rFonts w:ascii="Times New Roman" w:hAnsi="Times New Roman" w:cs="Times New Roman"/>
          <w:sz w:val="24"/>
          <w:szCs w:val="24"/>
        </w:rPr>
        <w:t>’</w:t>
      </w:r>
      <w:r>
        <w:rPr>
          <w:rFonts w:ascii="Times New Roman" w:hAnsi="Times New Roman" w:cs="Times New Roman" w:hint="eastAsia"/>
          <w:sz w:val="24"/>
          <w:szCs w:val="24"/>
        </w:rPr>
        <w:t>s right to collect dividends is established.</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For financial assets with embedded derivatives, it should be analyzed as a whole upon making sure whether the contractual cash flow can solely be paid for principals and interests.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lastRenderedPageBreak/>
        <w:t>-Classification of financial liabilities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Financial liabilities measured at fair value through current profit and loss: including transactional financial liabilities ( derivatives that are financial liabilities included</w:t>
      </w:r>
      <w:r>
        <w:rPr>
          <w:rFonts w:ascii="Times New Roman" w:hAnsi="Times New Roman" w:cs="Times New Roman" w:hint="eastAsia"/>
          <w:sz w:val="24"/>
          <w:szCs w:val="24"/>
        </w:rPr>
        <w:t>）</w:t>
      </w:r>
      <w:r>
        <w:rPr>
          <w:rFonts w:ascii="Times New Roman" w:hAnsi="Times New Roman" w:cs="Times New Roman" w:hint="eastAsia"/>
          <w:sz w:val="24"/>
          <w:szCs w:val="24"/>
        </w:rPr>
        <w:t>and financial liabilities, on the initial recognition, measured at fair value through current profit and loss. If one of following conditions could be met, it indicates the purpose of the Group</w:t>
      </w:r>
      <w:r>
        <w:rPr>
          <w:rFonts w:ascii="Times New Roman" w:hAnsi="Times New Roman" w:cs="Times New Roman"/>
          <w:sz w:val="24"/>
          <w:szCs w:val="24"/>
        </w:rPr>
        <w:t>’</w:t>
      </w:r>
      <w:r>
        <w:rPr>
          <w:rFonts w:ascii="Times New Roman" w:hAnsi="Times New Roman" w:cs="Times New Roman" w:hint="eastAsia"/>
          <w:sz w:val="24"/>
          <w:szCs w:val="24"/>
        </w:rPr>
        <w:t xml:space="preserve">s assumption of the financial liabilities is transactional: </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purpose of assuming related financial liabilities is mainly to repurchase in the near future to obtain the price difference or;</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Be part of the identifiable portfolio of financial instruments under centralized management, and there is objective evidence that the company has recently adopted a short-term profit model, or;</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Belongs to derivative instruments, except for derivatives that meet the definition of financial guarantee contract and derivatives that are designated as effective hedging instruments.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Other financial liabilities: except for the financial liabilities, financial guarantee contracts and loan commitments resulting from the transfer of financial assets that do not meet the conditions for derecognition or continued involvement in the transferred financial assets, other financial liabilities are classified as financial liabilities measured at amortized cost.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-Subsequent measurement of financial assets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Financial assets or financial</w:t>
      </w:r>
      <w:r>
        <w:rPr>
          <w:rFonts w:ascii="Times New Roman" w:hAnsi="Times New Roman" w:cs="Times New Roman"/>
          <w:sz w:val="24"/>
          <w:szCs w:val="24"/>
        </w:rPr>
        <w:t xml:space="preserve"> liability</w:t>
      </w:r>
      <w:r>
        <w:rPr>
          <w:rFonts w:ascii="Times New Roman" w:hAnsi="Times New Roman" w:cs="Times New Roman" w:hint="eastAsia"/>
          <w:sz w:val="24"/>
          <w:szCs w:val="24"/>
        </w:rPr>
        <w:t xml:space="preserve"> measured at amortized cost</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amortized cost of financial assets or liabilities should be determined by the initial recognition amount which based on the following adjustments: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①</w:t>
      </w:r>
      <w:r>
        <w:rPr>
          <w:rFonts w:ascii="Times New Roman" w:hAnsi="Times New Roman" w:cs="Times New Roman" w:hint="eastAsia"/>
          <w:sz w:val="24"/>
          <w:szCs w:val="24"/>
        </w:rPr>
        <w:t xml:space="preserve"> The principal which has been paid should be deducted;</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lastRenderedPageBreak/>
        <w:t>②</w:t>
      </w:r>
      <w:r>
        <w:rPr>
          <w:rFonts w:ascii="Times New Roman" w:hAnsi="Times New Roman" w:cs="Times New Roman" w:hint="eastAsia"/>
          <w:sz w:val="24"/>
          <w:szCs w:val="24"/>
        </w:rPr>
        <w:t xml:space="preserve"> The amount of accumulated amortization based on amortizing the difference between the initial amount and due amount should be added or deducted through effective interest method;</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③</w:t>
      </w:r>
      <w:r>
        <w:rPr>
          <w:rFonts w:ascii="Times New Roman" w:hAnsi="Times New Roman" w:cs="Times New Roman" w:hint="eastAsia"/>
          <w:sz w:val="24"/>
          <w:szCs w:val="24"/>
        </w:rPr>
        <w:t xml:space="preserve"> The provision of accumulated credit impairment should be deducted (only for financial assets).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effective interest is the rate being used to discount the estimated future cash flow of financial assets and liabilities into the book balance of the financial assets or the amortized cost of the financial liabilities. When deciding this rate, the Group will estimate the future cash flow basing on considering all of contractual conditions of financial assets and liabilities (such as early repayment, rollover, call options and other similar options), except the expected credit loss.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interest income is decided by book balance multiply effective interest rate, except for the following conditions: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For the purchased or originated financial assets that have suffered credit impairment, from the initial recognition, the interest income is calculated and determined according to the amortized cost of the financial asset and the credit-adjusted actual interest rate;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For the purchased or originated financial assets that have not suffered credit impairment at first but have suffered during following lifetime, the interest income is calculated and determined based on the amortized cost and effective interest rate. If this financial instrument has no credit impairment due to improved credit risk in the subsequent period, and this improvement can be objectively related to an event that occurs after the application of the above regulations, the interest rate should be determined by multiplying actual interest rate and book balance.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Financial assets measured at fair value through current profit and loss</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lastRenderedPageBreak/>
        <w:t xml:space="preserve">Debt instruments: total gain and loss of this kind of financial assets should all be included in other comprehensive income besides gain and loss of impairment and of exchange until terminal confirmation or reclassification. However, the interest income of the financial assets calculated by actual interest rate should be included in current profit and loss. When confirmation ended, all the gain and loss mentioned above should be transferred into current profit and loss. </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Equity instruments: if a non-trading equity instrument investment is designated as a financial asset measured at fair value and its changes are included in other comprehensive income, the changes in the fair value of this financial asset are included in other comprehensive income. At terminal confirmation, all the gain and loss mentioned above should be transferred into retained earnings. The dividend income as an investment return is recognized and included into current profit and loss when the Group determined that the rights received by it are established. When following conditions can be met at the same time, the dividend income can be recognized and included into current profit and loss: </w:t>
      </w:r>
      <w:r>
        <w:rPr>
          <w:rFonts w:ascii="Times New Roman" w:hAnsi="Times New Roman" w:cs="Times New Roman" w:hint="eastAsia"/>
          <w:sz w:val="24"/>
          <w:szCs w:val="24"/>
        </w:rPr>
        <w:t>①</w:t>
      </w:r>
      <w:r>
        <w:rPr>
          <w:rFonts w:ascii="Times New Roman" w:hAnsi="Times New Roman" w:cs="Times New Roman" w:hint="eastAsia"/>
          <w:sz w:val="24"/>
          <w:szCs w:val="24"/>
        </w:rPr>
        <w:t xml:space="preserve"> The right to receive dividends has been established; </w:t>
      </w:r>
      <w:r>
        <w:rPr>
          <w:rFonts w:ascii="Times New Roman" w:hAnsi="Times New Roman" w:cs="Times New Roman" w:hint="eastAsia"/>
          <w:sz w:val="24"/>
          <w:szCs w:val="24"/>
        </w:rPr>
        <w:t>②</w:t>
      </w:r>
      <w:r>
        <w:rPr>
          <w:rFonts w:ascii="Times New Roman" w:hAnsi="Times New Roman" w:cs="Times New Roman" w:hint="eastAsia"/>
          <w:sz w:val="24"/>
          <w:szCs w:val="24"/>
        </w:rPr>
        <w:t xml:space="preserve"> Economic benefits related to dividends are likely to flow into the company; </w:t>
      </w:r>
      <w:r>
        <w:rPr>
          <w:rFonts w:ascii="Times New Roman" w:hAnsi="Times New Roman" w:cs="Times New Roman" w:hint="eastAsia"/>
          <w:sz w:val="24"/>
          <w:szCs w:val="24"/>
        </w:rPr>
        <w:t>③</w:t>
      </w:r>
      <w:r>
        <w:rPr>
          <w:rFonts w:ascii="Times New Roman" w:hAnsi="Times New Roman" w:cs="Times New Roman" w:hint="eastAsia"/>
          <w:sz w:val="24"/>
          <w:szCs w:val="24"/>
        </w:rPr>
        <w:t xml:space="preserve"> The amount of dividends can be measured reliably.</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Financial assets and liabilities measured at fair value through current profit and loss</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gain and loss of financial assets and liabilities measured at fair value through current profit and loss will be included into current profit and loss by the Group, unless the financial assets or liabilities belonging to one of following circumstances: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Be part of the hedging relationship specified in "Accounting Standards for Business Enterprises No. 24-Hedging Accounting"; </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It is designated as a financial liability measured at fair value through current profit and loss, and based on Article 68 of "Accounting Standards for Business Enterprises No. 22-Recognition and Measurement of Financial Instruments", the fair </w:t>
      </w:r>
      <w:r>
        <w:rPr>
          <w:rFonts w:ascii="Times New Roman" w:hAnsi="Times New Roman" w:cs="Times New Roman" w:hint="eastAsia"/>
          <w:sz w:val="24"/>
          <w:szCs w:val="24"/>
        </w:rPr>
        <w:lastRenderedPageBreak/>
        <w:t>value changes according to it-self credit risk should be included into the other comprehensive income. When terminating the confirmation of this liability, the gain and loss which included into the other comprehensive income before should be transferred into retained earnings.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-Impairment measurement for losses on assets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The Group has confirmed the expected credit loss provisions for financial instruments that are subject to the impairment requirements of the new financial instrument standards, including financial assets measured at amortized cost, financial assets classified measured as fair value through other comprehensive income, </w:t>
      </w:r>
      <w:r>
        <w:rPr>
          <w:rFonts w:ascii="Times New Roman" w:hAnsi="Times New Roman" w:cs="Times New Roman"/>
          <w:sz w:val="24"/>
          <w:szCs w:val="24"/>
        </w:rPr>
        <w:t>Loan commitments and financial guarantee contracts, etc.</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The expected credit loss (ECL) is a weighted average of credit losses on financial instruments weighted at the </w:t>
      </w:r>
      <w:r>
        <w:rPr>
          <w:rFonts w:ascii="Times New Roman" w:hAnsi="Times New Roman" w:cs="Times New Roman"/>
          <w:sz w:val="24"/>
          <w:szCs w:val="24"/>
        </w:rPr>
        <w:t>risk of default. Credit loss is the difference between all contractual cash flows that are due to the Group in accordance with the contract and all cash flows expected to be received by the Group discounted at the original</w:t>
      </w:r>
      <w:r>
        <w:rPr>
          <w:rFonts w:ascii="Times New Roman" w:hAnsi="Times New Roman" w:cs="Times New Roman" w:hint="eastAsia"/>
          <w:sz w:val="24"/>
          <w:szCs w:val="24"/>
        </w:rPr>
        <w:t xml:space="preserve"> </w:t>
      </w:r>
      <w:r>
        <w:rPr>
          <w:rFonts w:ascii="Times New Roman" w:hAnsi="Times New Roman" w:cs="Times New Roman"/>
          <w:sz w:val="24"/>
          <w:szCs w:val="24"/>
        </w:rPr>
        <w:t>effective interest rate,</w:t>
      </w:r>
      <w:r>
        <w:rPr>
          <w:rFonts w:ascii="Times New Roman" w:hAnsi="Times New Roman" w:cs="Times New Roman" w:hint="eastAsia"/>
          <w:sz w:val="24"/>
          <w:szCs w:val="24"/>
        </w:rPr>
        <w:t xml:space="preserve"> </w:t>
      </w:r>
      <w:r>
        <w:rPr>
          <w:rFonts w:ascii="Times New Roman" w:hAnsi="Times New Roman" w:cs="Times New Roman"/>
          <w:sz w:val="24"/>
          <w:szCs w:val="24"/>
        </w:rPr>
        <w:t>i.e. the present value of all cash shortfalls.</w:t>
      </w:r>
      <w:r>
        <w:rPr>
          <w:rFonts w:ascii="Times New Roman" w:hAnsi="Times New Roman" w:cs="Times New Roman" w:hint="eastAsia"/>
          <w:sz w:val="24"/>
          <w:szCs w:val="24"/>
        </w:rPr>
        <w:t xml:space="preserve"> </w:t>
      </w:r>
      <w:r>
        <w:rPr>
          <w:rFonts w:ascii="Times New Roman" w:hAnsi="Times New Roman" w:cs="Times New Roman"/>
          <w:sz w:val="24"/>
          <w:szCs w:val="24"/>
        </w:rPr>
        <w:t>Among them, the financial assets that have been credit-impaired purchased or originated by the Group should be discounted at the credit-adjusted actual interest rate of the financial asset</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combines forward-looking information with the assessment of expected credit losses and confirms the related loss provisions on each balance sheet date</w:t>
      </w:r>
      <w:r>
        <w:rPr>
          <w:rFonts w:ascii="Times New Roman" w:hAnsi="Times New Roman" w:cs="Times New Roman" w:hint="eastAsia"/>
          <w:sz w:val="24"/>
          <w:szCs w:val="24"/>
        </w:rPr>
        <w:t xml:space="preserve">. </w:t>
      </w:r>
      <w:r>
        <w:rPr>
          <w:rFonts w:ascii="Times New Roman" w:hAnsi="Times New Roman" w:cs="Times New Roman"/>
          <w:sz w:val="24"/>
          <w:szCs w:val="24"/>
        </w:rPr>
        <w:t>The measurement of expected credit losses reflects the following elements</w:t>
      </w:r>
      <w:r>
        <w:rPr>
          <w:rFonts w:ascii="Times New Roman" w:hAnsi="Times New Roman" w:cs="Times New Roman" w:hint="eastAsia"/>
          <w:sz w:val="24"/>
          <w:szCs w:val="24"/>
        </w:rPr>
        <w:t xml:space="preserve">:  </w:t>
      </w:r>
      <w:r>
        <w:rPr>
          <w:rFonts w:ascii="Times New Roman" w:hAnsi="Times New Roman" w:cs="Times New Roman" w:hint="eastAsia"/>
          <w:sz w:val="24"/>
          <w:szCs w:val="24"/>
        </w:rPr>
        <w:t>①</w:t>
      </w:r>
      <w:r>
        <w:rPr>
          <w:rFonts w:ascii="Times New Roman" w:hAnsi="Times New Roman" w:cs="Times New Roman" w:hint="eastAsia"/>
          <w:sz w:val="24"/>
          <w:szCs w:val="24"/>
        </w:rPr>
        <w:t xml:space="preserve"> </w:t>
      </w:r>
      <w:r>
        <w:rPr>
          <w:rFonts w:ascii="Times New Roman" w:hAnsi="Times New Roman" w:cs="Times New Roman"/>
          <w:sz w:val="24"/>
          <w:szCs w:val="24"/>
        </w:rPr>
        <w:t>An</w:t>
      </w:r>
      <w:r>
        <w:rPr>
          <w:rFonts w:ascii="Times New Roman" w:hAnsi="Times New Roman" w:cs="Times New Roman" w:hint="eastAsia"/>
          <w:sz w:val="24"/>
          <w:szCs w:val="24"/>
        </w:rPr>
        <w:t xml:space="preserve"> </w:t>
      </w:r>
      <w:r>
        <w:rPr>
          <w:rFonts w:ascii="Times New Roman" w:hAnsi="Times New Roman" w:cs="Times New Roman"/>
          <w:sz w:val="24"/>
          <w:szCs w:val="24"/>
        </w:rPr>
        <w:t>unbiased and probability-weighted amount that is determined by evaluating a range of possible outcomes;</w:t>
      </w:r>
      <w:r>
        <w:rPr>
          <w:rFonts w:ascii="Times New Roman" w:hAnsi="Times New Roman" w:cs="Times New Roman" w:hint="eastAsia"/>
          <w:sz w:val="24"/>
          <w:szCs w:val="24"/>
        </w:rPr>
        <w:t xml:space="preserve">  </w:t>
      </w:r>
      <w:r>
        <w:rPr>
          <w:rFonts w:ascii="Times New Roman" w:hAnsi="Times New Roman" w:cs="Times New Roman" w:hint="eastAsia"/>
          <w:sz w:val="24"/>
          <w:szCs w:val="24"/>
        </w:rPr>
        <w:t>②</w:t>
      </w:r>
      <w:r>
        <w:rPr>
          <w:rFonts w:ascii="Times New Roman" w:hAnsi="Times New Roman" w:cs="Times New Roman" w:hint="eastAsia"/>
          <w:sz w:val="24"/>
          <w:szCs w:val="24"/>
        </w:rPr>
        <w:t xml:space="preserve"> The time value of Currency; </w:t>
      </w:r>
      <w:r>
        <w:rPr>
          <w:rFonts w:ascii="Times New Roman" w:hAnsi="Times New Roman" w:cs="Times New Roman" w:hint="eastAsia"/>
          <w:sz w:val="24"/>
          <w:szCs w:val="24"/>
        </w:rPr>
        <w:t>③</w:t>
      </w:r>
      <w:r>
        <w:rPr>
          <w:rFonts w:ascii="Times New Roman" w:hAnsi="Times New Roman" w:cs="Times New Roman" w:hint="eastAsia"/>
          <w:sz w:val="24"/>
          <w:szCs w:val="24"/>
        </w:rPr>
        <w:t xml:space="preserve"> </w:t>
      </w:r>
      <w:r>
        <w:rPr>
          <w:rFonts w:ascii="Times New Roman" w:hAnsi="Times New Roman" w:cs="Times New Roman"/>
          <w:sz w:val="24"/>
          <w:szCs w:val="24"/>
        </w:rPr>
        <w:t>Reasonable and supportable information that is available without undue cost or effort at the reporting date about past events, current conditions and forecasts of future economic conditions</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financial instruments included in the measurement of expected credit losses, the Group assesses whether the credit risk of relevant financial instruments has </w:t>
      </w:r>
      <w:r>
        <w:rPr>
          <w:rFonts w:ascii="Times New Roman" w:hAnsi="Times New Roman" w:cs="Times New Roman"/>
          <w:sz w:val="24"/>
          <w:szCs w:val="24"/>
        </w:rPr>
        <w:lastRenderedPageBreak/>
        <w:t>increased significantly since initial recognition</w:t>
      </w:r>
      <w:r>
        <w:rPr>
          <w:rFonts w:ascii="Times New Roman" w:hAnsi="Times New Roman" w:cs="Times New Roman" w:hint="eastAsia"/>
          <w:sz w:val="24"/>
          <w:szCs w:val="24"/>
        </w:rPr>
        <w:t xml:space="preserve">, and uses the </w:t>
      </w:r>
      <w:r>
        <w:rPr>
          <w:rFonts w:ascii="Times New Roman" w:hAnsi="Times New Roman" w:cs="Times New Roman" w:hint="eastAsia"/>
          <w:sz w:val="24"/>
          <w:szCs w:val="24"/>
        </w:rPr>
        <w:t>“</w:t>
      </w:r>
      <w:r>
        <w:rPr>
          <w:rFonts w:ascii="Times New Roman" w:hAnsi="Times New Roman" w:cs="Times New Roman" w:hint="eastAsia"/>
          <w:sz w:val="24"/>
          <w:szCs w:val="24"/>
        </w:rPr>
        <w:t>three-stage</w:t>
      </w:r>
      <w:r>
        <w:rPr>
          <w:rFonts w:ascii="Times New Roman" w:hAnsi="Times New Roman" w:cs="Times New Roman" w:hint="eastAsia"/>
          <w:sz w:val="24"/>
          <w:szCs w:val="24"/>
        </w:rPr>
        <w:t>”</w:t>
      </w:r>
      <w:r>
        <w:rPr>
          <w:rFonts w:ascii="Times New Roman" w:hAnsi="Times New Roman" w:cs="Times New Roman" w:hint="eastAsia"/>
          <w:sz w:val="24"/>
          <w:szCs w:val="24"/>
        </w:rPr>
        <w:t xml:space="preserve"> impairment model to measure its loss reserves and confirm ECL:</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Stage 1: The financial instruments without significant increases in credit risk after</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initial recognition are included in Stage 1 to calculate their impairment allowance at an amount equivalent to the ECL of the financial instruments for the next 12 months; </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Stage 2: Financial instruments that have had a significant increase in credit risk since</w:t>
      </w:r>
      <w:r>
        <w:rPr>
          <w:rFonts w:ascii="Times New Roman" w:hAnsi="Times New Roman" w:cs="Times New Roman" w:hint="eastAsia"/>
          <w:sz w:val="24"/>
          <w:szCs w:val="24"/>
        </w:rPr>
        <w:t xml:space="preserve"> </w:t>
      </w:r>
      <w:r>
        <w:rPr>
          <w:rFonts w:ascii="Times New Roman" w:hAnsi="Times New Roman" w:cs="Times New Roman"/>
          <w:sz w:val="24"/>
          <w:szCs w:val="24"/>
        </w:rPr>
        <w:t>initial recognition but have no objective evidence of impairment are included in Stage</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2, with their impairment allowance measured at an amount equivalent to the ECL over the lifetime of the financial instruments; </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Stage 3: Financial assets with objective evidence of impairment at the financial</w:t>
      </w:r>
      <w:r>
        <w:rPr>
          <w:rFonts w:ascii="Times New Roman" w:hAnsi="Times New Roman" w:cs="Times New Roman" w:hint="eastAsia"/>
          <w:sz w:val="24"/>
          <w:szCs w:val="24"/>
        </w:rPr>
        <w:t xml:space="preserve"> </w:t>
      </w:r>
      <w:r>
        <w:rPr>
          <w:rFonts w:ascii="Times New Roman" w:hAnsi="Times New Roman" w:cs="Times New Roman"/>
          <w:sz w:val="24"/>
          <w:szCs w:val="24"/>
        </w:rPr>
        <w:t>reporting date are included in Stage 3, with their impairment allowance measured at</w:t>
      </w:r>
      <w:r>
        <w:rPr>
          <w:rFonts w:ascii="Times New Roman" w:hAnsi="Times New Roman" w:cs="Times New Roman" w:hint="eastAsia"/>
          <w:sz w:val="24"/>
          <w:szCs w:val="24"/>
        </w:rPr>
        <w:t xml:space="preserve"> </w:t>
      </w:r>
      <w:r>
        <w:rPr>
          <w:rFonts w:ascii="Times New Roman" w:hAnsi="Times New Roman" w:cs="Times New Roman"/>
          <w:sz w:val="24"/>
          <w:szCs w:val="24"/>
        </w:rPr>
        <w:t>an amount equivalent to the ECL over the lifetime of the financial instruments.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Group compares the risk of default of financial instruments on the balance sheet date with the risk of default on the initial confirmation date to determine the relative change in the default risk of financial instruments during the expected lifetime to assess the credit risk of financial instruments since initial recognition </w:t>
      </w:r>
      <w:r>
        <w:rPr>
          <w:rFonts w:ascii="Times New Roman" w:hAnsi="Times New Roman" w:cs="Times New Roman" w:hint="eastAsia"/>
          <w:sz w:val="24"/>
          <w:szCs w:val="24"/>
        </w:rPr>
        <w:t>w</w:t>
      </w:r>
      <w:r>
        <w:rPr>
          <w:rFonts w:ascii="Times New Roman" w:hAnsi="Times New Roman" w:cs="Times New Roman"/>
          <w:sz w:val="24"/>
          <w:szCs w:val="24"/>
        </w:rPr>
        <w:t>hether it has increased significantly after</w:t>
      </w:r>
      <w:r>
        <w:rPr>
          <w:rFonts w:ascii="Times New Roman" w:hAnsi="Times New Roman" w:cs="Times New Roman" w:hint="eastAsia"/>
          <w:sz w:val="24"/>
          <w:szCs w:val="24"/>
        </w:rPr>
        <w:t xml:space="preserve">. </w:t>
      </w:r>
      <w:r>
        <w:rPr>
          <w:rFonts w:ascii="Times New Roman" w:hAnsi="Times New Roman" w:cs="Times New Roman"/>
          <w:sz w:val="24"/>
          <w:szCs w:val="24"/>
        </w:rPr>
        <w:t>In determining whether the credit risk has increased significantly since initial recognition, the Group considers reasonable and evidence-based information, including forward-looking information, that can be obtained without unnecessary extra cost or effort</w:t>
      </w:r>
      <w:r>
        <w:rPr>
          <w:rFonts w:ascii="Times New Roman" w:hAnsi="Times New Roman" w:cs="Times New Roman" w:hint="eastAsia"/>
          <w:sz w:val="24"/>
          <w:szCs w:val="24"/>
        </w:rPr>
        <w:t xml:space="preserve">. </w:t>
      </w:r>
      <w:r>
        <w:rPr>
          <w:rFonts w:ascii="Times New Roman" w:hAnsi="Times New Roman" w:cs="Times New Roman"/>
          <w:sz w:val="24"/>
          <w:szCs w:val="24"/>
        </w:rPr>
        <w:t>The information considered by the Group includes</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Debtor fails to pay the principal and interest before contractual expiration date;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-Severe deterioration of external or internal credit ratings (if any) of financial instruments that have occurred or are expected;</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lastRenderedPageBreak/>
        <w:t xml:space="preserve">-Severe deterioration of the debtor </w:t>
      </w:r>
      <w:proofErr w:type="gramStart"/>
      <w:r>
        <w:rPr>
          <w:rFonts w:ascii="Times New Roman" w:hAnsi="Times New Roman" w:cs="Times New Roman" w:hint="eastAsia"/>
          <w:sz w:val="24"/>
          <w:szCs w:val="24"/>
        </w:rPr>
        <w:t>’</w:t>
      </w:r>
      <w:proofErr w:type="gramEnd"/>
      <w:r>
        <w:rPr>
          <w:rFonts w:ascii="Times New Roman" w:hAnsi="Times New Roman" w:cs="Times New Roman" w:hint="eastAsia"/>
          <w:sz w:val="24"/>
          <w:szCs w:val="24"/>
        </w:rPr>
        <w:t>s operating results that have occurred or are expected;</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-Existing or expected changes in technology, market, economy or legal environment that will have a significant adverse effect on the debtor </w:t>
      </w:r>
      <w:r>
        <w:rPr>
          <w:rFonts w:ascii="Times New Roman" w:hAnsi="Times New Roman" w:cs="Times New Roman"/>
          <w:sz w:val="24"/>
          <w:szCs w:val="24"/>
        </w:rPr>
        <w:t>’</w:t>
      </w:r>
      <w:r>
        <w:rPr>
          <w:rFonts w:ascii="Times New Roman" w:hAnsi="Times New Roman" w:cs="Times New Roman" w:hint="eastAsia"/>
          <w:sz w:val="24"/>
          <w:szCs w:val="24"/>
        </w:rPr>
        <w:t>s ability to repay the Group.</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According to the characteristics of financial instruments, the Group assesses whether credit risk has increase significantly based on the single financial instruments or financial instruments portfolio.  The Group can classify financial instruments based on common credit risk characteristics, such as overdue information and credit risk rating.</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Group assesses whether the financial instruments measured at amortized cost or measured at fair value through the comprehensive income have suffered credit impairment or not on the balance sheet date. When one or more issues which have negative effects on the expected future cash flow of financial instruments have occurred, the financial instruments become into credit-impaired financial assets. The evidence of credit impairment financial assets includes the following observable information:</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-Significant financial difficulty of the issuer or obligor;</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-A breach of contract, such as a default or delinquency in interest or principal payments;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-The Group granting to the borrower, for economic or legal reasons relating to the </w:t>
      </w:r>
      <w:r>
        <w:rPr>
          <w:rFonts w:ascii="Times New Roman" w:hAnsi="Times New Roman" w:cs="Times New Roman"/>
          <w:sz w:val="24"/>
          <w:szCs w:val="24"/>
        </w:rPr>
        <w:t>borrower’s financial difficulty, a concession that the lender would not otherwise</w:t>
      </w:r>
      <w:r>
        <w:rPr>
          <w:rFonts w:ascii="Times New Roman" w:hAnsi="Times New Roman" w:cs="Times New Roman" w:hint="eastAsia"/>
          <w:sz w:val="24"/>
          <w:szCs w:val="24"/>
        </w:rPr>
        <w:t xml:space="preserve"> </w:t>
      </w:r>
      <w:r>
        <w:rPr>
          <w:rFonts w:ascii="Times New Roman" w:hAnsi="Times New Roman" w:cs="Times New Roman"/>
          <w:sz w:val="24"/>
          <w:szCs w:val="24"/>
        </w:rPr>
        <w:t>consider;</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sz w:val="24"/>
          <w:szCs w:val="24"/>
        </w:rPr>
        <w:t>It becoming probable that the borrower will enter into bankruptcy or other financial reorgan</w:t>
      </w:r>
      <w:r>
        <w:rPr>
          <w:rFonts w:ascii="Times New Roman" w:hAnsi="Times New Roman" w:cs="Times New Roman" w:hint="eastAsia"/>
          <w:sz w:val="24"/>
          <w:szCs w:val="24"/>
        </w:rPr>
        <w:t>iz</w:t>
      </w:r>
      <w:r>
        <w:rPr>
          <w:rFonts w:ascii="Times New Roman" w:hAnsi="Times New Roman" w:cs="Times New Roman"/>
          <w:sz w:val="24"/>
          <w:szCs w:val="24"/>
        </w:rPr>
        <w:t>ation;</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lastRenderedPageBreak/>
        <w:t>-</w:t>
      </w:r>
      <w:r>
        <w:rPr>
          <w:rFonts w:ascii="Times New Roman" w:hAnsi="Times New Roman" w:cs="Times New Roman"/>
          <w:sz w:val="24"/>
          <w:szCs w:val="24"/>
        </w:rPr>
        <w:t>The disappearance of an active market for that financial asset because of financial</w:t>
      </w:r>
      <w:r>
        <w:rPr>
          <w:rFonts w:ascii="Times New Roman" w:hAnsi="Times New Roman" w:cs="Times New Roman" w:hint="eastAsia"/>
          <w:sz w:val="24"/>
          <w:szCs w:val="24"/>
        </w:rPr>
        <w:t xml:space="preserve"> d</w:t>
      </w:r>
      <w:r>
        <w:rPr>
          <w:rFonts w:ascii="Times New Roman" w:hAnsi="Times New Roman" w:cs="Times New Roman"/>
          <w:sz w:val="24"/>
          <w:szCs w:val="24"/>
        </w:rPr>
        <w:t>ifficulties</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loss of investment of debt instruments measured at fair value through other comprehensive income should be included into the other comprehensive income, at the same time, its impairing loss or gain should be included into current profit and loss, and the book value of this kind of financial instruments cannot be decreased.</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In the previous accounting period, the loss provision has been measured at the amount equivalent to the expected credit loss of the entire duration of the financial instrument, but at the balance sheet date of the current period, the financial instrument is no longer in a situation where credit risk has increased significantly since initial recognition i</w:t>
      </w:r>
      <w:r>
        <w:rPr>
          <w:rFonts w:ascii="Times New Roman" w:hAnsi="Times New Roman" w:cs="Times New Roman"/>
          <w:sz w:val="24"/>
          <w:szCs w:val="24"/>
        </w:rPr>
        <w:t>n the current balance sheet date, the Group measures the loss provision of the financial instrument according to the amount equivalent to the expected credit loss in the next 12 months, and the resulting reversal of the loss provision is included in the current profit and loss as an impairment gain</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purchased or originated financial assets that have suffered credit impairment, the Group only recognizes the cumulative changes in </w:t>
      </w:r>
      <w:r>
        <w:rPr>
          <w:rFonts w:ascii="Times New Roman" w:hAnsi="Times New Roman" w:cs="Times New Roman" w:hint="eastAsia"/>
          <w:sz w:val="24"/>
          <w:szCs w:val="24"/>
        </w:rPr>
        <w:t>ECL</w:t>
      </w:r>
      <w:r>
        <w:rPr>
          <w:rFonts w:ascii="Times New Roman" w:hAnsi="Times New Roman" w:cs="Times New Roman"/>
          <w:sz w:val="24"/>
          <w:szCs w:val="24"/>
        </w:rPr>
        <w:t xml:space="preserve"> for the entire duration of the period since initial recognition as loss provisions on the balance sheet date. On each balance sheet date, the Group calculates the amount of changes in </w:t>
      </w:r>
      <w:r>
        <w:rPr>
          <w:rFonts w:ascii="Times New Roman" w:hAnsi="Times New Roman" w:cs="Times New Roman" w:hint="eastAsia"/>
          <w:sz w:val="24"/>
          <w:szCs w:val="24"/>
        </w:rPr>
        <w:t>ECL</w:t>
      </w:r>
      <w:r>
        <w:rPr>
          <w:rFonts w:ascii="Times New Roman" w:hAnsi="Times New Roman" w:cs="Times New Roman"/>
          <w:sz w:val="24"/>
          <w:szCs w:val="24"/>
        </w:rPr>
        <w:t xml:space="preserve"> throughout the lifetime as impairment losses or gains into the current profit and loss</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w:t>
      </w:r>
      <w:proofErr w:type="spellStart"/>
      <w:r>
        <w:rPr>
          <w:rFonts w:ascii="Times New Roman" w:hAnsi="Times New Roman" w:cs="Times New Roman" w:hint="eastAsia"/>
          <w:sz w:val="24"/>
          <w:szCs w:val="24"/>
        </w:rPr>
        <w:t>Derecognization</w:t>
      </w:r>
      <w:proofErr w:type="spellEnd"/>
      <w:r>
        <w:rPr>
          <w:rFonts w:ascii="Times New Roman" w:hAnsi="Times New Roman" w:cs="Times New Roman" w:hint="eastAsia"/>
          <w:sz w:val="24"/>
          <w:szCs w:val="24"/>
        </w:rPr>
        <w:t xml:space="preserve"> of financial assets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modification of debt contracts</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When the Group renegotiates or revises the contract of the customer </w:t>
      </w:r>
      <w:r>
        <w:rPr>
          <w:rFonts w:ascii="Times New Roman" w:hAnsi="Times New Roman" w:cs="Times New Roman"/>
          <w:sz w:val="24"/>
          <w:szCs w:val="24"/>
        </w:rPr>
        <w:t>’</w:t>
      </w:r>
      <w:r>
        <w:rPr>
          <w:rFonts w:ascii="Times New Roman" w:hAnsi="Times New Roman" w:cs="Times New Roman" w:hint="eastAsia"/>
          <w:sz w:val="24"/>
          <w:szCs w:val="24"/>
        </w:rPr>
        <w:t xml:space="preserve">s loan, resulting in changes in the contractual cash flow, the Group will assess whether the revised contract terms have substantially changed. </w:t>
      </w:r>
      <w:r>
        <w:rPr>
          <w:rFonts w:ascii="Times New Roman" w:hAnsi="Times New Roman" w:cs="Times New Roman"/>
          <w:sz w:val="24"/>
          <w:szCs w:val="24"/>
        </w:rPr>
        <w:t>Factors considered by the Group when conducting the assessment include</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lastRenderedPageBreak/>
        <w:t>-When the contract modification occurs when the borrower has financial difficulties, does the modification only reduce the contractual cash flow to the amount that the borrower is expected to pay off;</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-Whether any substantive clauses have been added, such as the provision for sharing profit / equity returns, resulting in a substantial change in the risk characteristics of the contract;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-When the borrower did not experience financial difficulties, the loan term was extended significantly;</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-There have been major changes in loan interest rates;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-Change in loan currency;</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-Increased guarantees or other credit enhancement measures, significantly changed the credit risk level of loans.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If any substantive changes occur after modifying contracts, the Group will derecognize the original financial asset, and designate into a new financial asset basing on the fair value, and calculate a new actual rate for this new financial asset. In this case, when applying the impairment requirements to the revised financial assets, including determining whether there has been a significant increase in credit risk, the Group uses the date of the above contract modification as the initial confirmation date. </w:t>
      </w:r>
      <w:r>
        <w:rPr>
          <w:rFonts w:ascii="Times New Roman" w:hAnsi="Times New Roman" w:cs="Times New Roman"/>
          <w:sz w:val="24"/>
          <w:szCs w:val="24"/>
        </w:rPr>
        <w:t>For the newly-recognized financial assets mentioned above, the Group shall also assess whether it has suffered credit impairment at the time of initial recognition, especially when the contract modification occurs when the debtor cannot perform the initially agreed payment arrangement. Changes in book value are included in profit or loss as gains or losses resulting from derecognition</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If there </w:t>
      </w:r>
      <w:proofErr w:type="gramStart"/>
      <w:r>
        <w:rPr>
          <w:rFonts w:ascii="Times New Roman" w:hAnsi="Times New Roman" w:cs="Times New Roman" w:hint="eastAsia"/>
          <w:sz w:val="24"/>
          <w:szCs w:val="24"/>
        </w:rPr>
        <w:t>is</w:t>
      </w:r>
      <w:proofErr w:type="gramEnd"/>
      <w:r>
        <w:rPr>
          <w:rFonts w:ascii="Times New Roman" w:hAnsi="Times New Roman" w:cs="Times New Roman" w:hint="eastAsia"/>
          <w:sz w:val="24"/>
          <w:szCs w:val="24"/>
        </w:rPr>
        <w:t xml:space="preserve"> no substantive changes occurring after modifying contracts, the </w:t>
      </w:r>
      <w:proofErr w:type="spellStart"/>
      <w:r>
        <w:rPr>
          <w:rFonts w:ascii="Times New Roman" w:hAnsi="Times New Roman" w:cs="Times New Roman" w:hint="eastAsia"/>
          <w:sz w:val="24"/>
          <w:szCs w:val="24"/>
        </w:rPr>
        <w:t>modificaiton</w:t>
      </w:r>
      <w:proofErr w:type="spellEnd"/>
      <w:r>
        <w:rPr>
          <w:rFonts w:ascii="Times New Roman" w:hAnsi="Times New Roman" w:cs="Times New Roman" w:hint="eastAsia"/>
          <w:sz w:val="24"/>
          <w:szCs w:val="24"/>
        </w:rPr>
        <w:t xml:space="preserve"> will not resulting in a </w:t>
      </w:r>
      <w:proofErr w:type="spellStart"/>
      <w:r>
        <w:rPr>
          <w:rFonts w:ascii="Times New Roman" w:hAnsi="Times New Roman" w:cs="Times New Roman" w:hint="eastAsia"/>
          <w:sz w:val="24"/>
          <w:szCs w:val="24"/>
        </w:rPr>
        <w:t>derecognization</w:t>
      </w:r>
      <w:proofErr w:type="spellEnd"/>
      <w:r>
        <w:rPr>
          <w:rFonts w:ascii="Times New Roman" w:hAnsi="Times New Roman" w:cs="Times New Roman" w:hint="eastAsia"/>
          <w:sz w:val="24"/>
          <w:szCs w:val="24"/>
        </w:rPr>
        <w:t xml:space="preserve">. The Group will calculate a new book value of this financial asset based on the modified contractual cash flow, and the </w:t>
      </w:r>
      <w:r>
        <w:rPr>
          <w:rFonts w:ascii="Times New Roman" w:hAnsi="Times New Roman" w:cs="Times New Roman" w:hint="eastAsia"/>
          <w:sz w:val="24"/>
          <w:szCs w:val="24"/>
        </w:rPr>
        <w:lastRenderedPageBreak/>
        <w:t>gains or losses will be added into profit and loss. When calculating the new book value, the initial actual rate (or the adjusted actual rate of purchased or derived financial assets that have suffered credit impairment) should be still used to discount the revised cash flow.</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The </w:t>
      </w:r>
      <w:proofErr w:type="spellStart"/>
      <w:r>
        <w:rPr>
          <w:rFonts w:ascii="Times New Roman" w:hAnsi="Times New Roman" w:cs="Times New Roman" w:hint="eastAsia"/>
          <w:sz w:val="24"/>
          <w:szCs w:val="24"/>
        </w:rPr>
        <w:t>derecognization</w:t>
      </w:r>
      <w:proofErr w:type="spellEnd"/>
      <w:r>
        <w:rPr>
          <w:rFonts w:ascii="Times New Roman" w:hAnsi="Times New Roman" w:cs="Times New Roman" w:hint="eastAsia"/>
          <w:sz w:val="24"/>
          <w:szCs w:val="24"/>
        </w:rPr>
        <w:t xml:space="preserve"> except for modification</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When the contractual rights to the cash flows from the asset expire, or when it </w:t>
      </w:r>
      <w:r>
        <w:rPr>
          <w:rFonts w:ascii="Times New Roman" w:hAnsi="Times New Roman" w:cs="Times New Roman"/>
          <w:sz w:val="24"/>
          <w:szCs w:val="24"/>
        </w:rPr>
        <w:t xml:space="preserve">transfers the financial asset </w:t>
      </w:r>
      <w:r>
        <w:rPr>
          <w:rFonts w:ascii="Times New Roman" w:hAnsi="Times New Roman" w:cs="Times New Roman" w:hint="eastAsia"/>
          <w:sz w:val="24"/>
          <w:szCs w:val="24"/>
        </w:rPr>
        <w:t xml:space="preserve">and </w:t>
      </w:r>
      <w:r>
        <w:rPr>
          <w:rFonts w:ascii="Times New Roman" w:hAnsi="Times New Roman" w:cs="Times New Roman" w:hint="eastAsia"/>
          <w:sz w:val="24"/>
          <w:szCs w:val="24"/>
        </w:rPr>
        <w:t>①</w:t>
      </w:r>
      <w:r>
        <w:rPr>
          <w:rFonts w:ascii="Times New Roman" w:hAnsi="Times New Roman" w:cs="Times New Roman" w:hint="eastAsia"/>
          <w:sz w:val="24"/>
          <w:szCs w:val="24"/>
        </w:rPr>
        <w:t xml:space="preserve"> the group has transferred almost all of the risks and gains of this financial asset, or; </w:t>
      </w:r>
      <w:r>
        <w:rPr>
          <w:rFonts w:ascii="Times New Roman" w:hAnsi="Times New Roman" w:cs="Times New Roman" w:hint="eastAsia"/>
          <w:sz w:val="24"/>
          <w:szCs w:val="24"/>
        </w:rPr>
        <w:t>②</w:t>
      </w:r>
      <w:r>
        <w:rPr>
          <w:rFonts w:ascii="Times New Roman" w:hAnsi="Times New Roman" w:cs="Times New Roman" w:hint="eastAsia"/>
          <w:sz w:val="24"/>
          <w:szCs w:val="24"/>
        </w:rPr>
        <w:t xml:space="preserve"> the Group neither transfers nor retains substantially all the risks and rewards of ownership and continues to control </w:t>
      </w:r>
      <w:r>
        <w:rPr>
          <w:rFonts w:ascii="Times New Roman" w:hAnsi="Times New Roman" w:cs="Times New Roman"/>
          <w:sz w:val="24"/>
          <w:szCs w:val="24"/>
        </w:rPr>
        <w:t>the transferred asset,</w:t>
      </w:r>
      <w:r>
        <w:rPr>
          <w:rFonts w:ascii="Times New Roman" w:hAnsi="Times New Roman" w:cs="Times New Roman" w:hint="eastAsia"/>
          <w:sz w:val="24"/>
          <w:szCs w:val="24"/>
        </w:rPr>
        <w:t xml:space="preserve"> the Group derecognizes all or part of this financial asset.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In certain transactions, the Group reserves the contractual right to receive cash flow, but has undertaken the contractual obligation to pay the cash flow received to the final payee, and has transferred almost all risks and rewards of ownership of financial assets. </w:t>
      </w:r>
      <w:r>
        <w:rPr>
          <w:rFonts w:ascii="Times New Roman" w:hAnsi="Times New Roman" w:cs="Times New Roman"/>
          <w:sz w:val="24"/>
          <w:szCs w:val="24"/>
        </w:rPr>
        <w:t>In this case, if the Group meets the "overhand" arrangement of the following conditions, the confirmation of the relevant financial assets will be terminated</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sz w:val="24"/>
          <w:szCs w:val="24"/>
        </w:rPr>
        <w:t>Only when receiving equivalent cash flow from the financial asset is it obligated to pay it to the final recipient</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sz w:val="24"/>
          <w:szCs w:val="24"/>
        </w:rPr>
        <w:t>It is forbidden to sell or mortgage the financial asset</w:t>
      </w:r>
      <w:r>
        <w:rPr>
          <w:rFonts w:ascii="Times New Roman" w:hAnsi="Times New Roman" w:cs="Times New Roman" w:hint="eastAsia"/>
          <w:sz w:val="24"/>
          <w:szCs w:val="24"/>
        </w:rPr>
        <w:t>,</w:t>
      </w:r>
      <w:r>
        <w:rPr>
          <w:rFonts w:ascii="Times New Roman" w:hAnsi="Times New Roman" w:cs="Times New Roman"/>
          <w:sz w:val="24"/>
          <w:szCs w:val="24"/>
        </w:rPr>
        <w:t xml:space="preserve"> and</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sz w:val="24"/>
          <w:szCs w:val="24"/>
        </w:rPr>
        <w:t>Obliged to transfer all cash flows received from the financial asset to the final payee as soon as possible</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Regarding the standard repurchase agreement, because the Group will repurchase at a predetermined price, virtually retaining all risks and rewards on the collateral, it does not meet the requirements for termination</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When the Group has transferred the contractual rights to receive cash flow, has neither transferred nor retained almost all the risks and rewards in the ownership of </w:t>
      </w:r>
      <w:r>
        <w:rPr>
          <w:rFonts w:ascii="Times New Roman" w:hAnsi="Times New Roman" w:cs="Times New Roman"/>
          <w:sz w:val="24"/>
          <w:szCs w:val="24"/>
        </w:rPr>
        <w:lastRenderedPageBreak/>
        <w:t xml:space="preserve">financial assets, and has retained control of the asset, the continuous involvement method should be applied for accounting. The extent to which the transferred assets continue to be involved continues to confirm the transferred assets, and at the same time confirms the related liabilities to reflect the rights or obligations reserved by the Group. If the transferred assets are measured at amortized cost, the net book value of the transferred assets and related liabilities is equal to the amortized cost of the rights or obligations reserved by the Group; if the transferred assets are measured at fair value, the book value of the transferred assets and related liabilities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net amount is equal to the fair value of the rights or obligations reserved by the group</w:t>
      </w:r>
      <w:r>
        <w:rPr>
          <w:rFonts w:ascii="Times New Roman" w:hAnsi="Times New Roman" w:cs="Times New Roman" w:hint="eastAsia"/>
          <w:sz w:val="24"/>
          <w:szCs w:val="24"/>
        </w:rPr>
        <w:t>.</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10. Fair value of financial instruments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Fair value is the price that would be received to sell an asset or paid to transfer a liability in an orderly transaction in the principal market at the measurement date under current market conditions. For financial instruments traded in active markets, the determination of fair values of financial assets and financial liabilities is based on quoted market prices. For financial instruments not traded in active markets, fair value is determined using appropriate valuation techniques</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 xml:space="preserve"> When a valuation technique is used to establish the fair value of a financial instrument, the Group chooses the inputs of the assets and liabilities with the same attributes in related transactions between knowledgeable and willing parties, and maximizes the use of relevant observable inputs when available. Under the situation where there are no observable inputs available or impractical to be obtained, unobservable inputs will be used.</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11. Assets purchased under resale agreements (</w:t>
      </w:r>
      <w:r>
        <w:rPr>
          <w:rFonts w:ascii="Times New Roman" w:hAnsi="Times New Roman" w:cs="Times New Roman" w:hint="eastAsia"/>
          <w:sz w:val="24"/>
          <w:szCs w:val="24"/>
        </w:rPr>
        <w:t>“</w:t>
      </w:r>
      <w:r>
        <w:rPr>
          <w:rFonts w:ascii="Times New Roman" w:hAnsi="Times New Roman" w:cs="Times New Roman" w:hint="eastAsia"/>
          <w:sz w:val="24"/>
          <w:szCs w:val="24"/>
        </w:rPr>
        <w:t>reverse repos</w:t>
      </w:r>
      <w:r>
        <w:rPr>
          <w:rFonts w:ascii="Times New Roman" w:hAnsi="Times New Roman" w:cs="Times New Roman" w:hint="eastAsia"/>
          <w:sz w:val="24"/>
          <w:szCs w:val="24"/>
        </w:rPr>
        <w:t>”</w:t>
      </w:r>
      <w:r>
        <w:rPr>
          <w:rFonts w:ascii="Times New Roman" w:hAnsi="Times New Roman" w:cs="Times New Roman" w:hint="eastAsia"/>
          <w:sz w:val="24"/>
          <w:szCs w:val="24"/>
        </w:rPr>
        <w:t>) and assets sold under repurchase agreements (</w:t>
      </w:r>
      <w:r>
        <w:rPr>
          <w:rFonts w:ascii="Times New Roman" w:hAnsi="Times New Roman" w:cs="Times New Roman" w:hint="eastAsia"/>
          <w:sz w:val="24"/>
          <w:szCs w:val="24"/>
        </w:rPr>
        <w:t>“</w:t>
      </w:r>
      <w:r>
        <w:rPr>
          <w:rFonts w:ascii="Times New Roman" w:hAnsi="Times New Roman" w:cs="Times New Roman" w:hint="eastAsia"/>
          <w:sz w:val="24"/>
          <w:szCs w:val="24"/>
        </w:rPr>
        <w:t>repos</w:t>
      </w:r>
      <w:r>
        <w:rPr>
          <w:rFonts w:ascii="Times New Roman" w:hAnsi="Times New Roman" w:cs="Times New Roman" w:hint="eastAsia"/>
          <w:sz w:val="24"/>
          <w:szCs w:val="24"/>
        </w:rPr>
        <w:t>”</w:t>
      </w:r>
      <w:r>
        <w:rPr>
          <w:rFonts w:ascii="Times New Roman" w:hAnsi="Times New Roman" w:cs="Times New Roman" w:hint="eastAsia"/>
          <w:sz w:val="24"/>
          <w:szCs w:val="24"/>
        </w:rPr>
        <w: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Reverse repo refers to the agreement under which the Group purchases an asset with an obligation to resell it to the same counterparty at a pre-determined price on a specified date. Reverse repo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recorded at the actual amount paid and presented in “assets purchased under resale agreements” on the balance sheet, while assets </w:t>
      </w:r>
      <w:r>
        <w:rPr>
          <w:rFonts w:ascii="Times New Roman" w:hAnsi="Times New Roman" w:cs="Times New Roman"/>
          <w:sz w:val="24"/>
          <w:szCs w:val="24"/>
        </w:rPr>
        <w:lastRenderedPageBreak/>
        <w:t>purchased are not recognized. Repo refers to the agreement under which the Group sells an asset with an obligation to repurchase it from the same counterparty at a pre-determined price on a specified date. Repos are recorded at the actual amounts received and presented in “assets sold under repurchase agreements” on the balance sheet, while assets sold are not derecognized. Interest earned from resale agreement and interest paid under repurchase agreement is recorded as interest income or interest expense respectively using effective interest method.</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12. Long-term equity investments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Long-term equity investments comprise the Company’s long-term equity investments in its subsidiaries, and the Group’s long-term equity investments in its associates</w:t>
      </w:r>
      <w:r>
        <w:rPr>
          <w:rFonts w:ascii="Times New Roman" w:hAnsi="Times New Roman" w:cs="Times New Roman" w:hint="eastAsia"/>
          <w:sz w:val="24"/>
          <w:szCs w:val="24"/>
        </w:rPr>
        <w:t xml:space="preserve"> and joint ventures</w:t>
      </w:r>
      <w:r>
        <w:rPr>
          <w:rFonts w:ascii="Times New Roman" w:hAnsi="Times New Roman" w:cs="Times New Roman"/>
          <w:sz w:val="24"/>
          <w:szCs w:val="24"/>
        </w:rPr>
        <w: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Criterion</w:t>
      </w:r>
      <w:r>
        <w:rPr>
          <w:rFonts w:ascii="Times New Roman" w:hAnsi="Times New Roman" w:cs="Times New Roman"/>
          <w:sz w:val="24"/>
          <w:szCs w:val="24"/>
        </w:rPr>
        <w:t xml:space="preserve"> of </w:t>
      </w:r>
      <w:r>
        <w:rPr>
          <w:rFonts w:ascii="Times New Roman" w:hAnsi="Times New Roman" w:cs="Times New Roman" w:hint="eastAsia"/>
          <w:sz w:val="24"/>
          <w:szCs w:val="24"/>
        </w:rPr>
        <w:t>common</w:t>
      </w:r>
      <w:r>
        <w:rPr>
          <w:rFonts w:ascii="Times New Roman" w:hAnsi="Times New Roman" w:cs="Times New Roman"/>
          <w:sz w:val="24"/>
          <w:szCs w:val="24"/>
        </w:rPr>
        <w:t xml:space="preserve"> control</w:t>
      </w:r>
      <w:r>
        <w:rPr>
          <w:rFonts w:ascii="Times New Roman" w:hAnsi="Times New Roman" w:cs="Times New Roman" w:hint="eastAsia"/>
          <w:sz w:val="24"/>
          <w:szCs w:val="24"/>
        </w:rPr>
        <w:t>：</w:t>
      </w:r>
      <w:r>
        <w:rPr>
          <w:rFonts w:ascii="Times New Roman" w:hAnsi="Times New Roman" w:cs="Times New Roman"/>
          <w:sz w:val="24"/>
          <w:szCs w:val="24"/>
        </w:rPr>
        <w:t xml:space="preserve">The </w:t>
      </w:r>
      <w:r>
        <w:rPr>
          <w:rFonts w:ascii="Times New Roman" w:hAnsi="Times New Roman" w:cs="Times New Roman" w:hint="eastAsia"/>
          <w:sz w:val="24"/>
          <w:szCs w:val="24"/>
        </w:rPr>
        <w:t>plan is made</w:t>
      </w:r>
      <w:r>
        <w:rPr>
          <w:rFonts w:ascii="Times New Roman" w:hAnsi="Times New Roman" w:cs="Times New Roman"/>
          <w:sz w:val="24"/>
          <w:szCs w:val="24"/>
        </w:rPr>
        <w:t xml:space="preserve"> by all participants or combinations of participants, and the policies of the relevant activities of the </w:t>
      </w:r>
      <w:r>
        <w:rPr>
          <w:rFonts w:ascii="Times New Roman" w:hAnsi="Times New Roman" w:cs="Times New Roman" w:hint="eastAsia"/>
          <w:sz w:val="24"/>
          <w:szCs w:val="24"/>
        </w:rPr>
        <w:t>plan</w:t>
      </w:r>
      <w:r>
        <w:rPr>
          <w:rFonts w:ascii="Times New Roman" w:hAnsi="Times New Roman" w:cs="Times New Roman"/>
          <w:sz w:val="24"/>
          <w:szCs w:val="24"/>
        </w:rPr>
        <w:t xml:space="preserve"> must be agreed by </w:t>
      </w:r>
      <w:r>
        <w:rPr>
          <w:rFonts w:ascii="Times New Roman" w:hAnsi="Times New Roman" w:cs="Times New Roman" w:hint="eastAsia"/>
          <w:sz w:val="24"/>
          <w:szCs w:val="24"/>
        </w:rPr>
        <w:t>all</w:t>
      </w:r>
      <w:r>
        <w:rPr>
          <w:rFonts w:ascii="Times New Roman" w:hAnsi="Times New Roman" w:cs="Times New Roman"/>
          <w:sz w:val="24"/>
          <w:szCs w:val="24"/>
        </w:rPr>
        <w:t xml:space="preserve"> participants </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When the Group directly or through subsidiaries owns 20% (inclusive) but less than 50% of the voting rights of the invested entity, it is generally considered to have a significant impact on the invested entity. If </w:t>
      </w:r>
      <w:r>
        <w:rPr>
          <w:rFonts w:ascii="Times New Roman" w:hAnsi="Times New Roman" w:cs="Times New Roman" w:hint="eastAsia"/>
          <w:sz w:val="24"/>
          <w:szCs w:val="24"/>
        </w:rPr>
        <w:t>the Group</w:t>
      </w:r>
      <w:r>
        <w:rPr>
          <w:rFonts w:ascii="Times New Roman" w:hAnsi="Times New Roman" w:cs="Times New Roman"/>
          <w:sz w:val="24"/>
          <w:szCs w:val="24"/>
        </w:rPr>
        <w:t xml:space="preserve"> h</w:t>
      </w:r>
      <w:r>
        <w:rPr>
          <w:rFonts w:ascii="Times New Roman" w:hAnsi="Times New Roman" w:cs="Times New Roman" w:hint="eastAsia"/>
          <w:sz w:val="24"/>
          <w:szCs w:val="24"/>
        </w:rPr>
        <w:t>e</w:t>
      </w:r>
      <w:r>
        <w:rPr>
          <w:rFonts w:ascii="Times New Roman" w:hAnsi="Times New Roman" w:cs="Times New Roman"/>
          <w:sz w:val="24"/>
          <w:szCs w:val="24"/>
        </w:rPr>
        <w:t xml:space="preserve">ld 20% or less of the voting rights of the invested entity, </w:t>
      </w:r>
      <w:r>
        <w:rPr>
          <w:rFonts w:ascii="Times New Roman" w:hAnsi="Times New Roman" w:cs="Times New Roman" w:hint="eastAsia"/>
          <w:sz w:val="24"/>
          <w:szCs w:val="24"/>
        </w:rPr>
        <w:t>the Group</w:t>
      </w:r>
      <w:r>
        <w:rPr>
          <w:rFonts w:ascii="Times New Roman" w:hAnsi="Times New Roman" w:cs="Times New Roman"/>
          <w:sz w:val="24"/>
          <w:szCs w:val="24"/>
        </w:rPr>
        <w:t xml:space="preserve"> must determine</w:t>
      </w:r>
      <w:r>
        <w:rPr>
          <w:rFonts w:ascii="Times New Roman" w:hAnsi="Times New Roman" w:cs="Times New Roman" w:hint="eastAsia"/>
          <w:sz w:val="24"/>
          <w:szCs w:val="24"/>
        </w:rPr>
        <w:t xml:space="preserve"> it whether </w:t>
      </w:r>
      <w:r>
        <w:rPr>
          <w:rFonts w:ascii="Times New Roman" w:hAnsi="Times New Roman" w:cs="Times New Roman"/>
          <w:sz w:val="24"/>
          <w:szCs w:val="24"/>
        </w:rPr>
        <w:t>have a significant impact on the invested entity</w:t>
      </w:r>
      <w:r>
        <w:rPr>
          <w:rFonts w:ascii="Times New Roman" w:hAnsi="Times New Roman" w:cs="Times New Roman" w:hint="eastAsia"/>
          <w:sz w:val="24"/>
          <w:szCs w:val="24"/>
        </w:rPr>
        <w:t xml:space="preserve"> by</w:t>
      </w:r>
      <w:r>
        <w:rPr>
          <w:rFonts w:ascii="Times New Roman" w:hAnsi="Times New Roman" w:cs="Times New Roman"/>
          <w:sz w:val="24"/>
          <w:szCs w:val="24"/>
        </w:rPr>
        <w:t xml:space="preserve"> comprehensively consider</w:t>
      </w:r>
      <w:r>
        <w:rPr>
          <w:rFonts w:ascii="Times New Roman" w:hAnsi="Times New Roman" w:cs="Times New Roman" w:hint="eastAsia"/>
          <w:sz w:val="24"/>
          <w:szCs w:val="24"/>
        </w:rPr>
        <w:t>ing the following facts and conditions:</w:t>
      </w:r>
      <w:r>
        <w:rPr>
          <w:rFonts w:ascii="Times New Roman" w:hAnsi="Times New Roman" w:cs="Times New Roman"/>
          <w:sz w:val="24"/>
          <w:szCs w:val="24"/>
        </w:rPr>
        <w:t xml:space="preserve"> representation of the investee’s board of directors or similar authority</w:t>
      </w:r>
      <w:r>
        <w:rPr>
          <w:rFonts w:ascii="Times New Roman" w:hAnsi="Times New Roman" w:cs="Times New Roman" w:hint="eastAsia"/>
          <w:sz w:val="24"/>
          <w:szCs w:val="24"/>
        </w:rPr>
        <w:t>;</w:t>
      </w:r>
      <w:r>
        <w:rPr>
          <w:rFonts w:ascii="Times New Roman" w:hAnsi="Times New Roman" w:cs="Times New Roman"/>
          <w:sz w:val="24"/>
          <w:szCs w:val="24"/>
        </w:rPr>
        <w:t xml:space="preserve"> participat</w:t>
      </w:r>
      <w:r>
        <w:rPr>
          <w:rFonts w:ascii="Times New Roman" w:hAnsi="Times New Roman" w:cs="Times New Roman" w:hint="eastAsia"/>
          <w:sz w:val="24"/>
          <w:szCs w:val="24"/>
        </w:rPr>
        <w:t>ing</w:t>
      </w:r>
      <w:r>
        <w:rPr>
          <w:rFonts w:ascii="Times New Roman" w:hAnsi="Times New Roman" w:cs="Times New Roman"/>
          <w:sz w:val="24"/>
          <w:szCs w:val="24"/>
        </w:rPr>
        <w:t xml:space="preserve"> in the financial and operating policy development process of the invested entity</w:t>
      </w:r>
      <w:r>
        <w:rPr>
          <w:rFonts w:ascii="Times New Roman" w:hAnsi="Times New Roman" w:cs="Times New Roman" w:hint="eastAsia"/>
          <w:sz w:val="24"/>
          <w:szCs w:val="24"/>
        </w:rPr>
        <w:t>;</w:t>
      </w:r>
      <w:r>
        <w:rPr>
          <w:rFonts w:ascii="Times New Roman" w:hAnsi="Times New Roman" w:cs="Times New Roman"/>
          <w:sz w:val="24"/>
          <w:szCs w:val="24"/>
        </w:rPr>
        <w:t xml:space="preserve"> the dispatch of management personnel to the invested entity</w:t>
      </w:r>
      <w:r>
        <w:rPr>
          <w:rFonts w:ascii="Times New Roman" w:hAnsi="Times New Roman" w:cs="Times New Roman" w:hint="eastAsia"/>
          <w:sz w:val="24"/>
          <w:szCs w:val="24"/>
        </w:rPr>
        <w:t>; providing the</w:t>
      </w:r>
      <w:r>
        <w:rPr>
          <w:rFonts w:ascii="Times New Roman" w:hAnsi="Times New Roman" w:cs="Times New Roman"/>
          <w:sz w:val="24"/>
          <w:szCs w:val="24"/>
        </w:rPr>
        <w:t xml:space="preserve"> key technical information to the invested entity.</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Subsidiaries are the investees over which the Company is able to exercise control. For the long-term equity investment acquired through the business combination under the same control, initial investment cost of the long-term equity investment </w:t>
      </w:r>
      <w:r>
        <w:rPr>
          <w:rFonts w:ascii="Times New Roman" w:hAnsi="Times New Roman" w:cs="Times New Roman" w:hint="eastAsia"/>
          <w:sz w:val="24"/>
          <w:szCs w:val="24"/>
        </w:rPr>
        <w:t>is</w:t>
      </w:r>
      <w:r>
        <w:rPr>
          <w:rFonts w:ascii="Times New Roman" w:hAnsi="Times New Roman" w:cs="Times New Roman"/>
          <w:sz w:val="24"/>
          <w:szCs w:val="24"/>
        </w:rPr>
        <w:t xml:space="preserve"> the book value of the net assets</w:t>
      </w:r>
      <w:r>
        <w:rPr>
          <w:rFonts w:ascii="Times New Roman" w:hAnsi="Times New Roman" w:cs="Times New Roman" w:hint="eastAsia"/>
          <w:sz w:val="24"/>
          <w:szCs w:val="24"/>
        </w:rPr>
        <w:t xml:space="preserve"> of </w:t>
      </w:r>
      <w:r>
        <w:rPr>
          <w:rFonts w:ascii="Times New Roman" w:hAnsi="Times New Roman" w:cs="Times New Roman"/>
          <w:sz w:val="24"/>
          <w:szCs w:val="24"/>
        </w:rPr>
        <w:t>combined</w:t>
      </w:r>
      <w:r>
        <w:rPr>
          <w:rFonts w:ascii="Times New Roman" w:hAnsi="Times New Roman" w:cs="Times New Roman" w:hint="eastAsia"/>
          <w:sz w:val="24"/>
          <w:szCs w:val="24"/>
        </w:rPr>
        <w:t xml:space="preserve"> part</w:t>
      </w:r>
      <w:r>
        <w:rPr>
          <w:rFonts w:ascii="Times New Roman" w:hAnsi="Times New Roman" w:cs="Times New Roman"/>
          <w:sz w:val="24"/>
          <w:szCs w:val="24"/>
        </w:rPr>
        <w:t xml:space="preserve"> in the consolidated</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financial statement </w:t>
      </w:r>
      <w:r>
        <w:rPr>
          <w:rFonts w:ascii="Times New Roman" w:hAnsi="Times New Roman" w:cs="Times New Roman"/>
          <w:sz w:val="24"/>
          <w:szCs w:val="24"/>
        </w:rPr>
        <w:lastRenderedPageBreak/>
        <w:t>of the combining</w:t>
      </w:r>
      <w:r>
        <w:rPr>
          <w:rFonts w:ascii="Times New Roman" w:hAnsi="Times New Roman" w:cs="Times New Roman" w:hint="eastAsia"/>
          <w:sz w:val="24"/>
          <w:szCs w:val="24"/>
        </w:rPr>
        <w:t xml:space="preserve"> part</w:t>
      </w:r>
      <w:r>
        <w:rPr>
          <w:rFonts w:ascii="Times New Roman" w:hAnsi="Times New Roman" w:cs="Times New Roman"/>
          <w:sz w:val="24"/>
          <w:szCs w:val="24"/>
        </w:rPr>
        <w:t xml:space="preserve"> at the </w:t>
      </w:r>
      <w:r>
        <w:rPr>
          <w:rFonts w:ascii="Times New Roman" w:hAnsi="Times New Roman" w:cs="Times New Roman" w:hint="eastAsia"/>
          <w:sz w:val="24"/>
          <w:szCs w:val="24"/>
        </w:rPr>
        <w:t>combination date</w:t>
      </w:r>
      <w:r>
        <w:rPr>
          <w:rFonts w:ascii="Times New Roman" w:hAnsi="Times New Roman" w:cs="Times New Roman"/>
          <w:sz w:val="24"/>
          <w:szCs w:val="24"/>
        </w:rPr>
        <w:t>. If th</w:t>
      </w:r>
      <w:r>
        <w:rPr>
          <w:rFonts w:ascii="Times New Roman" w:hAnsi="Times New Roman" w:cs="Times New Roman" w:hint="eastAsia"/>
          <w:sz w:val="24"/>
          <w:szCs w:val="24"/>
        </w:rPr>
        <w:t>is</w:t>
      </w:r>
      <w:r>
        <w:rPr>
          <w:rFonts w:ascii="Times New Roman" w:hAnsi="Times New Roman" w:cs="Times New Roman"/>
          <w:sz w:val="24"/>
          <w:szCs w:val="24"/>
        </w:rPr>
        <w:t xml:space="preserve"> book value is negative, the cost of long-term equity investment shall be determined by zero.</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For the b</w:t>
      </w:r>
      <w:r>
        <w:rPr>
          <w:rFonts w:ascii="Times New Roman" w:hAnsi="Times New Roman" w:cs="Times New Roman"/>
          <w:sz w:val="24"/>
          <w:szCs w:val="24"/>
        </w:rPr>
        <w:t>usiness combination under common control</w:t>
      </w:r>
      <w:r>
        <w:rPr>
          <w:rFonts w:ascii="Times New Roman" w:hAnsi="Times New Roman" w:cs="Times New Roman" w:hint="eastAsia"/>
          <w:sz w:val="24"/>
          <w:szCs w:val="24"/>
        </w:rPr>
        <w:t xml:space="preserve"> that formed through </w:t>
      </w:r>
      <w:r>
        <w:rPr>
          <w:rFonts w:ascii="Times New Roman" w:hAnsi="Times New Roman" w:cs="Times New Roman"/>
          <w:sz w:val="24"/>
          <w:szCs w:val="24"/>
        </w:rPr>
        <w:t>multiple transactions, the</w:t>
      </w:r>
      <w:r>
        <w:rPr>
          <w:rFonts w:ascii="Times New Roman" w:hAnsi="Times New Roman" w:cs="Times New Roman" w:hint="eastAsia"/>
          <w:sz w:val="24"/>
          <w:szCs w:val="24"/>
        </w:rPr>
        <w:t xml:space="preserve"> accounting method of</w:t>
      </w:r>
      <w:r>
        <w:rPr>
          <w:rFonts w:ascii="Times New Roman" w:hAnsi="Times New Roman" w:cs="Times New Roman"/>
          <w:sz w:val="24"/>
          <w:szCs w:val="24"/>
        </w:rPr>
        <w:t xml:space="preserve"> long-term equity investment in the financial statements of the parent company shall be additionally disclosed in the reporting period when the control right is obtained.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long-term equity investments </w:t>
      </w:r>
      <w:r>
        <w:rPr>
          <w:rFonts w:ascii="Times New Roman" w:hAnsi="Times New Roman" w:cs="Times New Roman" w:hint="eastAsia"/>
          <w:sz w:val="24"/>
          <w:szCs w:val="24"/>
        </w:rPr>
        <w:t xml:space="preserve">that </w:t>
      </w:r>
      <w:r>
        <w:rPr>
          <w:rFonts w:ascii="Times New Roman" w:hAnsi="Times New Roman" w:cs="Times New Roman"/>
          <w:sz w:val="24"/>
          <w:szCs w:val="24"/>
        </w:rPr>
        <w:t>acquired through business combinations not under common control, initial investment cost</w:t>
      </w:r>
      <w:r>
        <w:t xml:space="preserve"> </w:t>
      </w:r>
      <w:r>
        <w:rPr>
          <w:rFonts w:ascii="Times New Roman" w:hAnsi="Times New Roman" w:cs="Times New Roman"/>
          <w:sz w:val="24"/>
          <w:szCs w:val="24"/>
        </w:rPr>
        <w:t>is the combination cost.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For the business combination</w:t>
      </w:r>
      <w:r>
        <w:rPr>
          <w:rFonts w:ascii="Times New Roman" w:hAnsi="Times New Roman" w:cs="Times New Roman" w:hint="eastAsia"/>
          <w:sz w:val="24"/>
          <w:szCs w:val="24"/>
        </w:rPr>
        <w:t xml:space="preserve"> not</w:t>
      </w:r>
      <w:r>
        <w:rPr>
          <w:rFonts w:ascii="Times New Roman" w:hAnsi="Times New Roman" w:cs="Times New Roman"/>
          <w:sz w:val="24"/>
          <w:szCs w:val="24"/>
        </w:rPr>
        <w:t xml:space="preserve"> under common control that formed through multiple transactions, the accounting method of long-term equity investment in the financial statements of the parent company shall be additionally disclosed in the reporting period when the control right is obtained.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Except for the above</w:t>
      </w:r>
      <w:r>
        <w:rPr>
          <w:rFonts w:ascii="Times New Roman" w:hAnsi="Times New Roman" w:cs="Times New Roman" w:hint="eastAsia"/>
          <w:sz w:val="24"/>
          <w:szCs w:val="24"/>
        </w:rPr>
        <w:t xml:space="preserve"> conditions</w:t>
      </w:r>
      <w:r>
        <w:rPr>
          <w:rFonts w:ascii="Times New Roman" w:hAnsi="Times New Roman" w:cs="Times New Roman"/>
          <w:sz w:val="24"/>
          <w:szCs w:val="24"/>
        </w:rPr>
        <w:t>, if the long-term equity investment obtained by cash payment</w:t>
      </w:r>
      <w:r>
        <w:rPr>
          <w:rFonts w:ascii="Times New Roman" w:hAnsi="Times New Roman" w:cs="Times New Roman" w:hint="eastAsia"/>
          <w:sz w:val="24"/>
          <w:szCs w:val="24"/>
        </w:rPr>
        <w:t>,</w:t>
      </w:r>
      <w:r>
        <w:rPr>
          <w:rFonts w:ascii="Times New Roman" w:hAnsi="Times New Roman" w:cs="Times New Roman"/>
          <w:sz w:val="24"/>
          <w:szCs w:val="24"/>
        </w:rPr>
        <w:t xml:space="preserve"> the investment cost </w:t>
      </w:r>
      <w:r>
        <w:rPr>
          <w:rFonts w:ascii="Times New Roman" w:hAnsi="Times New Roman" w:cs="Times New Roman" w:hint="eastAsia"/>
          <w:sz w:val="24"/>
          <w:szCs w:val="24"/>
        </w:rPr>
        <w:t>shall be recorded as</w:t>
      </w:r>
      <w:r>
        <w:rPr>
          <w:rFonts w:ascii="Times New Roman" w:hAnsi="Times New Roman" w:cs="Times New Roman"/>
          <w:sz w:val="24"/>
          <w:szCs w:val="24"/>
        </w:rPr>
        <w:t xml:space="preserve"> the</w:t>
      </w:r>
      <w:r>
        <w:rPr>
          <w:rFonts w:ascii="Times New Roman" w:hAnsi="Times New Roman" w:cs="Times New Roman" w:hint="eastAsia"/>
          <w:sz w:val="24"/>
          <w:szCs w:val="24"/>
        </w:rPr>
        <w:t xml:space="preserve"> actual payment</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if </w:t>
      </w:r>
      <w:r>
        <w:rPr>
          <w:rFonts w:ascii="Times New Roman" w:hAnsi="Times New Roman" w:cs="Times New Roman"/>
          <w:sz w:val="24"/>
          <w:szCs w:val="24"/>
        </w:rPr>
        <w:t>the long-term equity investment obtained by issuing equity securities</w:t>
      </w:r>
      <w:r>
        <w:rPr>
          <w:rFonts w:ascii="Times New Roman" w:hAnsi="Times New Roman" w:cs="Times New Roman" w:hint="eastAsia"/>
          <w:sz w:val="24"/>
          <w:szCs w:val="24"/>
        </w:rPr>
        <w:t>, the investment cost</w:t>
      </w:r>
      <w:r>
        <w:rPr>
          <w:rFonts w:ascii="Times New Roman" w:hAnsi="Times New Roman" w:cs="Times New Roman"/>
          <w:sz w:val="24"/>
          <w:szCs w:val="24"/>
        </w:rPr>
        <w:t xml:space="preserve"> shall be</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the fair value of the issuance of equity securities. </w:t>
      </w:r>
      <w:r>
        <w:rPr>
          <w:rFonts w:ascii="Times New Roman" w:hAnsi="Times New Roman" w:cs="Times New Roman" w:hint="eastAsia"/>
          <w:sz w:val="24"/>
          <w:szCs w:val="24"/>
        </w:rPr>
        <w:t xml:space="preserve">If </w:t>
      </w:r>
      <w:r>
        <w:rPr>
          <w:rFonts w:ascii="Times New Roman" w:hAnsi="Times New Roman" w:cs="Times New Roman"/>
          <w:sz w:val="24"/>
          <w:szCs w:val="24"/>
        </w:rPr>
        <w:t>the long-term equity investment obtained by investors’</w:t>
      </w:r>
      <w:r>
        <w:rPr>
          <w:rFonts w:ascii="Times New Roman" w:hAnsi="Times New Roman" w:cs="Times New Roman" w:hint="eastAsia"/>
          <w:sz w:val="24"/>
          <w:szCs w:val="24"/>
        </w:rPr>
        <w:t xml:space="preserve"> other long-term equity investment,</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the investment cost </w:t>
      </w:r>
      <w:r>
        <w:rPr>
          <w:rFonts w:ascii="Times New Roman" w:hAnsi="Times New Roman" w:cs="Times New Roman"/>
          <w:sz w:val="24"/>
          <w:szCs w:val="24"/>
        </w:rPr>
        <w:t xml:space="preserve">shall be </w:t>
      </w:r>
      <w:r>
        <w:rPr>
          <w:rFonts w:ascii="Times New Roman" w:hAnsi="Times New Roman" w:cs="Times New Roman" w:hint="eastAsia"/>
          <w:sz w:val="24"/>
          <w:szCs w:val="24"/>
        </w:rPr>
        <w:t xml:space="preserve">determined </w:t>
      </w:r>
      <w:r>
        <w:rPr>
          <w:rFonts w:ascii="Times New Roman" w:hAnsi="Times New Roman" w:cs="Times New Roman"/>
          <w:sz w:val="24"/>
          <w:szCs w:val="24"/>
        </w:rPr>
        <w:t>according to the value agreed in the investment contract or agreement;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Group's investment in subsidiaries is accounted </w:t>
      </w:r>
      <w:r>
        <w:rPr>
          <w:rFonts w:ascii="Times New Roman" w:hAnsi="Times New Roman" w:cs="Times New Roman" w:hint="eastAsia"/>
          <w:sz w:val="24"/>
          <w:szCs w:val="24"/>
        </w:rPr>
        <w:t>for using</w:t>
      </w:r>
      <w:r>
        <w:rPr>
          <w:rFonts w:ascii="Times New Roman" w:hAnsi="Times New Roman" w:cs="Times New Roman"/>
          <w:sz w:val="24"/>
          <w:szCs w:val="24"/>
        </w:rPr>
        <w:t xml:space="preserve"> cost method. Investments in joint ventures and associates are accounted </w:t>
      </w:r>
      <w:r>
        <w:rPr>
          <w:rFonts w:ascii="Times New Roman" w:hAnsi="Times New Roman" w:cs="Times New Roman" w:hint="eastAsia"/>
          <w:sz w:val="24"/>
          <w:szCs w:val="24"/>
        </w:rPr>
        <w:t>for using</w:t>
      </w:r>
      <w:r>
        <w:rPr>
          <w:rFonts w:ascii="Times New Roman" w:hAnsi="Times New Roman" w:cs="Times New Roman"/>
          <w:sz w:val="24"/>
          <w:szCs w:val="24"/>
        </w:rPr>
        <w:t xml:space="preserve"> the equity method.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If s</w:t>
      </w:r>
      <w:r>
        <w:rPr>
          <w:rFonts w:ascii="Times New Roman" w:hAnsi="Times New Roman" w:cs="Times New Roman"/>
          <w:sz w:val="24"/>
          <w:szCs w:val="24"/>
        </w:rPr>
        <w:t xml:space="preserve">ubsequent measurement </w:t>
      </w:r>
      <w:r>
        <w:rPr>
          <w:rFonts w:ascii="Times New Roman" w:hAnsi="Times New Roman" w:cs="Times New Roman" w:hint="eastAsia"/>
          <w:sz w:val="24"/>
          <w:szCs w:val="24"/>
        </w:rPr>
        <w:t>of</w:t>
      </w:r>
      <w:r>
        <w:rPr>
          <w:rFonts w:ascii="Times New Roman" w:hAnsi="Times New Roman" w:cs="Times New Roman"/>
          <w:sz w:val="24"/>
          <w:szCs w:val="24"/>
        </w:rPr>
        <w:t xml:space="preserve"> long-term equity investment </w:t>
      </w:r>
      <w:r>
        <w:rPr>
          <w:rFonts w:ascii="Times New Roman" w:hAnsi="Times New Roman" w:cs="Times New Roman" w:hint="eastAsia"/>
          <w:sz w:val="24"/>
          <w:szCs w:val="24"/>
        </w:rPr>
        <w:t xml:space="preserve">is </w:t>
      </w:r>
      <w:r>
        <w:rPr>
          <w:rFonts w:ascii="Times New Roman" w:hAnsi="Times New Roman" w:cs="Times New Roman"/>
          <w:sz w:val="24"/>
          <w:szCs w:val="24"/>
        </w:rPr>
        <w:t>cost method</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w:t>
      </w:r>
      <w:r>
        <w:rPr>
          <w:rFonts w:ascii="Times New Roman" w:hAnsi="Times New Roman" w:cs="Times New Roman"/>
          <w:sz w:val="24"/>
          <w:szCs w:val="24"/>
        </w:rPr>
        <w:t xml:space="preserve">hen additional investments are made, the book value of long-term equity investment costs </w:t>
      </w:r>
      <w:r>
        <w:rPr>
          <w:rFonts w:ascii="Times New Roman" w:hAnsi="Times New Roman" w:cs="Times New Roman" w:hint="eastAsia"/>
          <w:sz w:val="24"/>
          <w:szCs w:val="24"/>
        </w:rPr>
        <w:t>shall be</w:t>
      </w:r>
      <w:r>
        <w:rPr>
          <w:rFonts w:ascii="Times New Roman" w:hAnsi="Times New Roman" w:cs="Times New Roman"/>
          <w:sz w:val="24"/>
          <w:szCs w:val="24"/>
        </w:rPr>
        <w:t xml:space="preserve"> increased in accordance with the fair value of the cost of additional investment payments and the related transaction costs. Cash dividends or profit </w:t>
      </w:r>
      <w:r>
        <w:rPr>
          <w:rFonts w:ascii="Times New Roman" w:hAnsi="Times New Roman" w:cs="Times New Roman"/>
          <w:sz w:val="24"/>
          <w:szCs w:val="24"/>
        </w:rPr>
        <w:lastRenderedPageBreak/>
        <w:t>distributions declared by the investees are recognized as investment income in profit or loss.</w:t>
      </w:r>
      <w:r>
        <w:rPr>
          <w:rFonts w:ascii="Times New Roman" w:hAnsi="Times New Roman" w:cs="Times New Roman" w:hint="eastAsia"/>
          <w:sz w:val="24"/>
          <w:szCs w:val="24"/>
        </w:rPr>
        <w:t xml:space="preserve"> </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subsequent measurement of long-term equity investment is equity method, the book value of long-term equity investment costs shall be increased in accordance with the</w:t>
      </w:r>
      <w:r>
        <w:rPr>
          <w:rFonts w:ascii="Times New Roman" w:hAnsi="Times New Roman" w:cs="Times New Roman" w:hint="eastAsia"/>
          <w:sz w:val="24"/>
          <w:szCs w:val="24"/>
        </w:rPr>
        <w:t xml:space="preserve"> changes in</w:t>
      </w:r>
      <w:r>
        <w:rPr>
          <w:rFonts w:ascii="Times New Roman" w:hAnsi="Times New Roman" w:cs="Times New Roman"/>
          <w:sz w:val="24"/>
          <w:szCs w:val="24"/>
        </w:rPr>
        <w:t xml:space="preserve"> fair value of</w:t>
      </w:r>
      <w:r>
        <w:rPr>
          <w:rFonts w:ascii="Times New Roman" w:hAnsi="Times New Roman" w:cs="Times New Roman" w:hint="eastAsia"/>
          <w:sz w:val="24"/>
          <w:szCs w:val="24"/>
        </w:rPr>
        <w:t xml:space="preserve"> the owners</w:t>
      </w:r>
      <w:r>
        <w:rPr>
          <w:rFonts w:ascii="Times New Roman" w:hAnsi="Times New Roman" w:cs="Times New Roman"/>
          <w:sz w:val="24"/>
          <w:szCs w:val="24"/>
        </w:rPr>
        <w:t>’</w:t>
      </w:r>
      <w:r>
        <w:rPr>
          <w:rFonts w:ascii="Times New Roman" w:hAnsi="Times New Roman" w:cs="Times New Roman" w:hint="eastAsia"/>
          <w:sz w:val="24"/>
          <w:szCs w:val="24"/>
        </w:rPr>
        <w:t xml:space="preserve"> equity of investee. T</w:t>
      </w:r>
      <w:r>
        <w:rPr>
          <w:rFonts w:ascii="Times New Roman" w:hAnsi="Times New Roman" w:cs="Times New Roman"/>
          <w:sz w:val="24"/>
          <w:szCs w:val="24"/>
        </w:rPr>
        <w:t>he Group recognizes the investment income according to its share of net profit or loss of the investee.</w:t>
      </w:r>
      <w:r>
        <w:t xml:space="preserve"> </w:t>
      </w:r>
      <w:r>
        <w:rPr>
          <w:rFonts w:ascii="Times New Roman" w:hAnsi="Times New Roman" w:cs="Times New Roman"/>
          <w:sz w:val="24"/>
          <w:szCs w:val="24"/>
        </w:rPr>
        <w:t>The unrealized profits or losses arising from the transactions between the Group and its investees are eliminated in proportion to the Group’s equity interest in the investees, based on which the investment gain or losses are recognized. Any losses resulting from transactions between the Group and its investees attributable to asset impairment losses are not eliminated.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the disposal of long-term equity investments, the difference between the book value and the actual </w:t>
      </w:r>
      <w:r>
        <w:rPr>
          <w:rFonts w:ascii="Times New Roman" w:hAnsi="Times New Roman" w:cs="Times New Roman" w:hint="eastAsia"/>
          <w:sz w:val="24"/>
          <w:szCs w:val="24"/>
        </w:rPr>
        <w:t>received</w:t>
      </w:r>
      <w:r>
        <w:rPr>
          <w:rFonts w:ascii="Times New Roman" w:hAnsi="Times New Roman" w:cs="Times New Roman"/>
          <w:sz w:val="24"/>
          <w:szCs w:val="24"/>
        </w:rPr>
        <w:t xml:space="preserve"> is </w:t>
      </w:r>
      <w:r>
        <w:rPr>
          <w:rFonts w:ascii="Times New Roman" w:hAnsi="Times New Roman" w:cs="Times New Roman" w:hint="eastAsia"/>
          <w:sz w:val="24"/>
          <w:szCs w:val="24"/>
        </w:rPr>
        <w:t>charged to</w:t>
      </w:r>
      <w:r>
        <w:rPr>
          <w:rFonts w:ascii="Times New Roman" w:hAnsi="Times New Roman" w:cs="Times New Roman"/>
          <w:sz w:val="24"/>
          <w:szCs w:val="24"/>
        </w:rPr>
        <w:t xml:space="preserve"> the current investment income. If the long-term equity investment accounted for using the equity method</w:t>
      </w:r>
      <w:r>
        <w:rPr>
          <w:rFonts w:ascii="Times New Roman" w:hAnsi="Times New Roman" w:cs="Times New Roman" w:hint="eastAsia"/>
          <w:sz w:val="24"/>
          <w:szCs w:val="24"/>
        </w:rPr>
        <w:t>，</w:t>
      </w:r>
      <w:r>
        <w:rPr>
          <w:rFonts w:ascii="Times New Roman" w:hAnsi="Times New Roman" w:cs="Times New Roman"/>
          <w:sz w:val="24"/>
          <w:szCs w:val="24"/>
        </w:rPr>
        <w:t>the part originally accounted into the owner</w:t>
      </w:r>
      <w:r>
        <w:rPr>
          <w:rFonts w:ascii="Times New Roman" w:hAnsi="Times New Roman" w:cs="Times New Roman" w:hint="eastAsia"/>
          <w:sz w:val="24"/>
          <w:szCs w:val="24"/>
        </w:rPr>
        <w:t>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equity </w:t>
      </w:r>
      <w:r>
        <w:rPr>
          <w:rFonts w:ascii="Times New Roman" w:hAnsi="Times New Roman" w:cs="Times New Roman" w:hint="eastAsia"/>
          <w:sz w:val="24"/>
          <w:szCs w:val="24"/>
        </w:rPr>
        <w:t>shall be</w:t>
      </w:r>
      <w:r>
        <w:rPr>
          <w:rFonts w:ascii="Times New Roman" w:hAnsi="Times New Roman" w:cs="Times New Roman"/>
          <w:sz w:val="24"/>
          <w:szCs w:val="24"/>
        </w:rPr>
        <w:t xml:space="preserve"> transferred to the current investment gains and losses according to the corresponding proportion.</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company loses joint control or significant influence over the invested entity due to the disposal of some</w:t>
      </w:r>
      <w:r>
        <w:rPr>
          <w:rFonts w:ascii="Times New Roman" w:hAnsi="Times New Roman" w:cs="Times New Roman" w:hint="eastAsia"/>
          <w:sz w:val="24"/>
          <w:szCs w:val="24"/>
        </w:rPr>
        <w:t xml:space="preserve"> long-term</w:t>
      </w:r>
      <w:r>
        <w:rPr>
          <w:rFonts w:ascii="Times New Roman" w:hAnsi="Times New Roman" w:cs="Times New Roman"/>
          <w:sz w:val="24"/>
          <w:szCs w:val="24"/>
        </w:rPr>
        <w:t xml:space="preserve"> equity investment, the remaining equity after disposal is </w:t>
      </w:r>
      <w:r>
        <w:rPr>
          <w:rFonts w:ascii="Times New Roman" w:hAnsi="Times New Roman" w:cs="Times New Roman" w:hint="eastAsia"/>
          <w:sz w:val="24"/>
          <w:szCs w:val="24"/>
        </w:rPr>
        <w:t>accounted as</w:t>
      </w:r>
      <w:r>
        <w:rPr>
          <w:rFonts w:ascii="Times New Roman" w:hAnsi="Times New Roman" w:cs="Times New Roman"/>
          <w:sz w:val="24"/>
          <w:szCs w:val="24"/>
        </w:rPr>
        <w:t xml:space="preserve"> available-for-sale financial assets</w:t>
      </w:r>
      <w:r>
        <w:rPr>
          <w:rFonts w:ascii="Times New Roman" w:hAnsi="Times New Roman" w:cs="Times New Roman" w:hint="eastAsia"/>
          <w:sz w:val="24"/>
          <w:szCs w:val="24"/>
        </w:rPr>
        <w:t>.</w:t>
      </w:r>
      <w:r>
        <w:t xml:space="preserve"> </w:t>
      </w:r>
      <w:r>
        <w:rPr>
          <w:rFonts w:ascii="Times New Roman" w:hAnsi="Times New Roman" w:cs="Times New Roman"/>
          <w:sz w:val="24"/>
          <w:szCs w:val="24"/>
        </w:rPr>
        <w:t xml:space="preserve">The difference between the fair value </w:t>
      </w:r>
      <w:r>
        <w:rPr>
          <w:rFonts w:ascii="Times New Roman" w:hAnsi="Times New Roman" w:cs="Times New Roman" w:hint="eastAsia"/>
          <w:sz w:val="24"/>
          <w:szCs w:val="24"/>
        </w:rPr>
        <w:t>and book value</w:t>
      </w:r>
      <w:r>
        <w:t xml:space="preserve"> </w:t>
      </w:r>
      <w:r>
        <w:rPr>
          <w:rFonts w:ascii="Times New Roman" w:hAnsi="Times New Roman" w:cs="Times New Roman"/>
          <w:sz w:val="24"/>
          <w:szCs w:val="24"/>
        </w:rPr>
        <w:t>of the remaining equity</w:t>
      </w:r>
      <w:r>
        <w:rPr>
          <w:rFonts w:ascii="Times New Roman" w:hAnsi="Times New Roman" w:cs="Times New Roman" w:hint="eastAsia"/>
          <w:sz w:val="24"/>
          <w:szCs w:val="24"/>
        </w:rPr>
        <w:t xml:space="preserve"> at</w:t>
      </w:r>
      <w:r>
        <w:rPr>
          <w:rFonts w:ascii="Times New Roman" w:hAnsi="Times New Roman" w:cs="Times New Roman"/>
          <w:sz w:val="24"/>
          <w:szCs w:val="24"/>
        </w:rPr>
        <w:t xml:space="preserve"> </w:t>
      </w:r>
      <w:r>
        <w:rPr>
          <w:rFonts w:ascii="Times New Roman" w:hAnsi="Times New Roman" w:cs="Times New Roman" w:hint="eastAsia"/>
          <w:sz w:val="24"/>
          <w:szCs w:val="24"/>
        </w:rPr>
        <w:t>that date</w:t>
      </w:r>
      <w:r>
        <w:rPr>
          <w:rFonts w:ascii="Times New Roman" w:hAnsi="Times New Roman" w:cs="Times New Roman"/>
          <w:sz w:val="24"/>
          <w:szCs w:val="24"/>
        </w:rPr>
        <w:t xml:space="preserve"> is </w:t>
      </w:r>
      <w:r>
        <w:rPr>
          <w:rFonts w:ascii="Times New Roman" w:hAnsi="Times New Roman" w:cs="Times New Roman" w:hint="eastAsia"/>
          <w:sz w:val="24"/>
          <w:szCs w:val="24"/>
        </w:rPr>
        <w:t>charged to</w:t>
      </w:r>
      <w:r>
        <w:rPr>
          <w:rFonts w:ascii="Times New Roman" w:hAnsi="Times New Roman" w:cs="Times New Roman"/>
          <w:sz w:val="24"/>
          <w:szCs w:val="24"/>
        </w:rPr>
        <w:t xml:space="preserve"> the current profit and loss. The other comprehensive income recognized in the original </w:t>
      </w:r>
      <w:r>
        <w:rPr>
          <w:rFonts w:ascii="Times New Roman" w:hAnsi="Times New Roman" w:cs="Times New Roman" w:hint="eastAsia"/>
          <w:sz w:val="24"/>
          <w:szCs w:val="24"/>
        </w:rPr>
        <w:t xml:space="preserve">long-term </w:t>
      </w:r>
      <w:r>
        <w:rPr>
          <w:rFonts w:ascii="Times New Roman" w:hAnsi="Times New Roman" w:cs="Times New Roman"/>
          <w:sz w:val="24"/>
          <w:szCs w:val="24"/>
        </w:rPr>
        <w:t xml:space="preserve">equity investment </w:t>
      </w:r>
      <w:r>
        <w:rPr>
          <w:rFonts w:ascii="Times New Roman" w:hAnsi="Times New Roman" w:cs="Times New Roman" w:hint="eastAsia"/>
          <w:sz w:val="24"/>
          <w:szCs w:val="24"/>
        </w:rPr>
        <w:t>under</w:t>
      </w:r>
      <w:r>
        <w:rPr>
          <w:rFonts w:ascii="Times New Roman" w:hAnsi="Times New Roman" w:cs="Times New Roman"/>
          <w:sz w:val="24"/>
          <w:szCs w:val="24"/>
        </w:rPr>
        <w:t xml:space="preserve"> equity method is accounted for on the same basis as if the investee had directly disposed of the relevant assets or liabilities</w:t>
      </w:r>
      <w:r>
        <w:rPr>
          <w:rFonts w:ascii="Times New Roman" w:hAnsi="Times New Roman" w:cs="Times New Roman" w:hint="eastAsia"/>
          <w:sz w:val="24"/>
          <w:szCs w:val="24"/>
        </w:rPr>
        <w:t xml:space="preserve">, </w:t>
      </w:r>
      <w:r>
        <w:rPr>
          <w:rFonts w:ascii="Times New Roman" w:hAnsi="Times New Roman" w:cs="Times New Roman"/>
          <w:sz w:val="24"/>
          <w:szCs w:val="24"/>
        </w:rPr>
        <w:t>when the use of the equity method was terminated.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w:t>
      </w:r>
      <w:r>
        <w:rPr>
          <w:rFonts w:ascii="Times New Roman" w:hAnsi="Times New Roman" w:cs="Times New Roman" w:hint="eastAsia"/>
          <w:sz w:val="24"/>
          <w:szCs w:val="24"/>
        </w:rPr>
        <w:t xml:space="preserve"> company</w:t>
      </w:r>
      <w:r>
        <w:rPr>
          <w:rFonts w:ascii="Times New Roman" w:hAnsi="Times New Roman" w:cs="Times New Roman"/>
          <w:sz w:val="24"/>
          <w:szCs w:val="24"/>
        </w:rPr>
        <w:t xml:space="preserve"> loses control over the investee</w:t>
      </w:r>
      <w:r>
        <w:t xml:space="preserve"> </w:t>
      </w:r>
      <w:r>
        <w:rPr>
          <w:rFonts w:hint="eastAsia"/>
        </w:rPr>
        <w:t xml:space="preserve">due to the </w:t>
      </w:r>
      <w:r>
        <w:rPr>
          <w:rFonts w:ascii="Times New Roman" w:hAnsi="Times New Roman" w:cs="Times New Roman"/>
          <w:sz w:val="24"/>
          <w:szCs w:val="24"/>
        </w:rPr>
        <w:t xml:space="preserve">disposal of some long-term equity investments </w:t>
      </w:r>
      <w:r>
        <w:rPr>
          <w:rFonts w:ascii="Times New Roman" w:hAnsi="Times New Roman" w:cs="Times New Roman" w:hint="eastAsia"/>
          <w:sz w:val="24"/>
          <w:szCs w:val="24"/>
        </w:rPr>
        <w:t>but</w:t>
      </w:r>
      <w:r>
        <w:rPr>
          <w:rFonts w:ascii="Times New Roman" w:hAnsi="Times New Roman" w:cs="Times New Roman"/>
          <w:sz w:val="24"/>
          <w:szCs w:val="24"/>
        </w:rPr>
        <w:t xml:space="preserve"> the remaining equity after disposal can implement common control or exert significant influence the investee, </w:t>
      </w:r>
      <w:r>
        <w:rPr>
          <w:rFonts w:ascii="Times New Roman" w:hAnsi="Times New Roman" w:cs="Times New Roman" w:hint="eastAsia"/>
          <w:sz w:val="24"/>
          <w:szCs w:val="24"/>
        </w:rPr>
        <w:t xml:space="preserve">the </w:t>
      </w:r>
      <w:r>
        <w:rPr>
          <w:rFonts w:ascii="Times New Roman" w:hAnsi="Times New Roman" w:cs="Times New Roman"/>
          <w:sz w:val="24"/>
          <w:szCs w:val="24"/>
        </w:rPr>
        <w:t xml:space="preserve">remaining equity shall </w:t>
      </w:r>
      <w:r>
        <w:rPr>
          <w:rFonts w:ascii="Times New Roman" w:hAnsi="Times New Roman" w:cs="Times New Roman"/>
          <w:sz w:val="24"/>
          <w:szCs w:val="24"/>
        </w:rPr>
        <w:lastRenderedPageBreak/>
        <w:t>be accounted for using the equity method</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T</w:t>
      </w:r>
      <w:r>
        <w:rPr>
          <w:rFonts w:ascii="Times New Roman" w:hAnsi="Times New Roman" w:cs="Times New Roman"/>
          <w:sz w:val="24"/>
          <w:szCs w:val="24"/>
        </w:rPr>
        <w:t xml:space="preserve">he difference between the book value of disposed equity and the disposal </w:t>
      </w:r>
      <w:r>
        <w:rPr>
          <w:rFonts w:ascii="Times New Roman" w:hAnsi="Times New Roman" w:cs="Times New Roman" w:hint="eastAsia"/>
          <w:sz w:val="24"/>
          <w:szCs w:val="24"/>
        </w:rPr>
        <w:t>earning</w:t>
      </w:r>
      <w:r>
        <w:rPr>
          <w:rFonts w:ascii="Times New Roman" w:hAnsi="Times New Roman" w:cs="Times New Roman"/>
          <w:sz w:val="24"/>
          <w:szCs w:val="24"/>
        </w:rPr>
        <w:t xml:space="preserve"> </w:t>
      </w:r>
      <w:r>
        <w:rPr>
          <w:rFonts w:ascii="Times New Roman" w:hAnsi="Times New Roman" w:cs="Times New Roman" w:hint="eastAsia"/>
          <w:sz w:val="24"/>
          <w:szCs w:val="24"/>
        </w:rPr>
        <w:t>is</w:t>
      </w:r>
      <w:r>
        <w:rPr>
          <w:rFonts w:ascii="Times New Roman" w:hAnsi="Times New Roman" w:cs="Times New Roman"/>
          <w:sz w:val="24"/>
          <w:szCs w:val="24"/>
        </w:rPr>
        <w:t xml:space="preserve"> </w:t>
      </w:r>
      <w:r>
        <w:rPr>
          <w:rFonts w:ascii="Times New Roman" w:hAnsi="Times New Roman" w:cs="Times New Roman" w:hint="eastAsia"/>
          <w:sz w:val="24"/>
          <w:szCs w:val="24"/>
        </w:rPr>
        <w:t>charged to the investment income</w:t>
      </w:r>
      <w:r>
        <w:rPr>
          <w:rFonts w:ascii="Times New Roman" w:hAnsi="Times New Roman" w:cs="Times New Roman"/>
          <w:sz w:val="24"/>
          <w:szCs w:val="24"/>
        </w:rPr>
        <w:t>. The remaining equity shall be adjusted by using the equity method</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If the remaining equity after disposal cannot implement common control or exert significant influence on the investee, it shall be </w:t>
      </w:r>
      <w:r>
        <w:rPr>
          <w:rFonts w:ascii="Times New Roman" w:hAnsi="Times New Roman" w:cs="Times New Roman" w:hint="eastAsia"/>
          <w:sz w:val="24"/>
          <w:szCs w:val="24"/>
        </w:rPr>
        <w:t>accounted</w:t>
      </w:r>
      <w:r>
        <w:rPr>
          <w:rFonts w:ascii="Times New Roman" w:hAnsi="Times New Roman" w:cs="Times New Roman"/>
          <w:sz w:val="24"/>
          <w:szCs w:val="24"/>
        </w:rPr>
        <w:t xml:space="preserve"> </w:t>
      </w:r>
      <w:r>
        <w:rPr>
          <w:rFonts w:ascii="Times New Roman" w:hAnsi="Times New Roman" w:cs="Times New Roman" w:hint="eastAsia"/>
          <w:sz w:val="24"/>
          <w:szCs w:val="24"/>
        </w:rPr>
        <w:t>as</w:t>
      </w:r>
      <w:r>
        <w:rPr>
          <w:rFonts w:ascii="Times New Roman" w:hAnsi="Times New Roman" w:cs="Times New Roman"/>
          <w:sz w:val="24"/>
          <w:szCs w:val="24"/>
        </w:rPr>
        <w:t xml:space="preserve"> available-for-sale financial assets</w:t>
      </w:r>
      <w:r>
        <w:rPr>
          <w:rFonts w:ascii="Times New Roman" w:hAnsi="Times New Roman" w:cs="Times New Roman" w:hint="eastAsia"/>
          <w:sz w:val="24"/>
          <w:szCs w:val="24"/>
        </w:rPr>
        <w:t>.</w:t>
      </w:r>
      <w:r>
        <w:t xml:space="preserve"> </w:t>
      </w:r>
      <w:r>
        <w:rPr>
          <w:rFonts w:ascii="Times New Roman" w:hAnsi="Times New Roman" w:cs="Times New Roman"/>
          <w:sz w:val="24"/>
          <w:szCs w:val="24"/>
        </w:rPr>
        <w:t xml:space="preserve">The difference between the book value of disposal equity and disposal </w:t>
      </w:r>
      <w:r>
        <w:rPr>
          <w:rFonts w:ascii="Times New Roman" w:hAnsi="Times New Roman" w:cs="Times New Roman" w:hint="eastAsia"/>
          <w:sz w:val="24"/>
          <w:szCs w:val="24"/>
        </w:rPr>
        <w:t>earning</w:t>
      </w:r>
      <w:r>
        <w:rPr>
          <w:rFonts w:ascii="Times New Roman" w:hAnsi="Times New Roman" w:cs="Times New Roman"/>
          <w:sz w:val="24"/>
          <w:szCs w:val="24"/>
        </w:rPr>
        <w:t xml:space="preserve"> is </w:t>
      </w:r>
      <w:r>
        <w:rPr>
          <w:rFonts w:ascii="Times New Roman" w:hAnsi="Times New Roman" w:cs="Times New Roman" w:hint="eastAsia"/>
          <w:sz w:val="24"/>
          <w:szCs w:val="24"/>
        </w:rPr>
        <w:t>charged to</w:t>
      </w:r>
      <w:r>
        <w:rPr>
          <w:rFonts w:ascii="Times New Roman" w:hAnsi="Times New Roman" w:cs="Times New Roman"/>
          <w:sz w:val="24"/>
          <w:szCs w:val="24"/>
        </w:rPr>
        <w:t xml:space="preserve"> investment income.</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The difference between the fair value and book value of the remaining equity on the date of loss of control is </w:t>
      </w:r>
      <w:r>
        <w:rPr>
          <w:rFonts w:ascii="Times New Roman" w:hAnsi="Times New Roman" w:cs="Times New Roman" w:hint="eastAsia"/>
          <w:sz w:val="24"/>
          <w:szCs w:val="24"/>
        </w:rPr>
        <w:t>charged to</w:t>
      </w:r>
      <w:r>
        <w:rPr>
          <w:rFonts w:ascii="Times New Roman" w:hAnsi="Times New Roman" w:cs="Times New Roman"/>
          <w:sz w:val="24"/>
          <w:szCs w:val="24"/>
        </w:rPr>
        <w:t xml:space="preserve"> the current investment profit or loss.</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13. Investment property</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Investment property</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refers to the </w:t>
      </w:r>
      <w:r>
        <w:rPr>
          <w:rFonts w:ascii="Times New Roman" w:hAnsi="Times New Roman" w:cs="Times New Roman" w:hint="eastAsia"/>
          <w:sz w:val="24"/>
          <w:szCs w:val="24"/>
        </w:rPr>
        <w:t>property</w:t>
      </w:r>
      <w:r>
        <w:rPr>
          <w:rFonts w:ascii="Times New Roman" w:hAnsi="Times New Roman" w:cs="Times New Roman"/>
          <w:sz w:val="24"/>
          <w:szCs w:val="24"/>
        </w:rPr>
        <w:t xml:space="preserve"> held in order to earn rent or capital appreciation, or for both of the above. Investment real estate includes rented land usage right, transferred land usage right held and prepared to be transferred after appreciation, and rented architecture. The bank calculates the investment </w:t>
      </w:r>
      <w:r>
        <w:rPr>
          <w:rFonts w:ascii="Times New Roman" w:hAnsi="Times New Roman" w:cs="Times New Roman" w:hint="eastAsia"/>
          <w:sz w:val="24"/>
          <w:szCs w:val="24"/>
        </w:rPr>
        <w:t>property</w:t>
      </w:r>
      <w:r>
        <w:rPr>
          <w:rFonts w:ascii="Times New Roman" w:hAnsi="Times New Roman" w:cs="Times New Roman"/>
          <w:sz w:val="24"/>
          <w:szCs w:val="24"/>
        </w:rPr>
        <w:t xml:space="preserve"> by cost method.</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14. Fixed assets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Fixed assets refer to the tangible assets held in order to provide services, rent or conduct operating management, with the service life over one year.</w:t>
      </w:r>
      <w:r>
        <w:t xml:space="preserve"> </w:t>
      </w:r>
      <w:r>
        <w:rPr>
          <w:rFonts w:ascii="Times New Roman" w:hAnsi="Times New Roman" w:cs="Times New Roman"/>
          <w:sz w:val="24"/>
          <w:szCs w:val="24"/>
        </w:rPr>
        <w:t>Fixed assets mainly comprise buildings, motor vehicles,</w:t>
      </w:r>
      <w:r>
        <w:rPr>
          <w:rFonts w:ascii="Times New Roman" w:hAnsi="Times New Roman" w:cs="Times New Roman" w:hint="eastAsia"/>
          <w:sz w:val="24"/>
          <w:szCs w:val="24"/>
        </w:rPr>
        <w:t xml:space="preserve"> electric equipment, m</w:t>
      </w:r>
      <w:r>
        <w:rPr>
          <w:rFonts w:ascii="Times New Roman" w:hAnsi="Times New Roman" w:cs="Times New Roman"/>
          <w:sz w:val="24"/>
          <w:szCs w:val="24"/>
        </w:rPr>
        <w:t>achinery equipment</w:t>
      </w:r>
      <w:r>
        <w:rPr>
          <w:rFonts w:ascii="Times New Roman" w:hAnsi="Times New Roman" w:cs="Times New Roman" w:hint="eastAsia"/>
          <w:sz w:val="24"/>
          <w:szCs w:val="24"/>
        </w:rPr>
        <w:t xml:space="preserve"> and other equipment.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Fixed assets shall be recognized only when the economic benefits associated with the asset will likely flow into the Group and the cost of the asset can be measured reliably. Subsequent expenditure incurred for fixed assets that meet the recognition criteria shall be included in the cost of the asset, and carrying amount of the component of the asset that is replaced shall be derecognized. Otherwise, such expenditure shall be recognized in profit or loss.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lastRenderedPageBreak/>
        <w:t>Depreciation is calculated on the straight-line method to write down the cost of such assets to their residual values over their estimated useful lives. For the impaired fixed assets, the annual depreciation amount should be calculated on the basis of carrying amount less impairment and estimated remaining useful life.</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estimated useful lives, estimated residual values and annual depreciation rates are as follows:</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114"/>
        <w:gridCol w:w="1685"/>
        <w:gridCol w:w="1698"/>
        <w:gridCol w:w="1910"/>
      </w:tblGrid>
      <w:tr w:rsidR="000B609E">
        <w:trPr>
          <w:trHeight w:hRule="exact" w:val="874"/>
          <w:tblHeader/>
          <w:jc w:val="center"/>
        </w:trPr>
        <w:tc>
          <w:tcPr>
            <w:tcW w:w="870" w:type="dxa"/>
            <w:tcBorders>
              <w:top w:val="double" w:sz="4" w:space="0" w:color="auto"/>
              <w:left w:val="nil"/>
            </w:tcBorders>
            <w:vAlign w:val="center"/>
          </w:tcPr>
          <w:p w:rsidR="000B609E" w:rsidRDefault="00B220E1">
            <w:pPr>
              <w:spacing w:after="156" w:line="360" w:lineRule="auto"/>
              <w:ind w:firstLine="402"/>
              <w:jc w:val="center"/>
              <w:rPr>
                <w:rFonts w:ascii="Times New Roman" w:eastAsia="宋体" w:hAnsi="Times New Roman" w:cs="宋体"/>
                <w:b/>
                <w:snapToGrid w:val="0"/>
                <w:color w:val="000000"/>
                <w:kern w:val="0"/>
                <w:sz w:val="20"/>
                <w:szCs w:val="20"/>
                <w:lang w:val="en-GB"/>
              </w:rPr>
            </w:pPr>
            <w:r>
              <w:rPr>
                <w:rFonts w:ascii="Times New Roman" w:eastAsia="宋体" w:hAnsi="Times New Roman" w:cs="宋体" w:hint="eastAsia"/>
                <w:b/>
                <w:snapToGrid w:val="0"/>
                <w:color w:val="000000"/>
                <w:kern w:val="0"/>
                <w:sz w:val="20"/>
                <w:szCs w:val="20"/>
                <w:lang w:val="en-GB"/>
              </w:rPr>
              <w:t>No</w:t>
            </w:r>
          </w:p>
        </w:tc>
        <w:tc>
          <w:tcPr>
            <w:tcW w:w="2114" w:type="dxa"/>
            <w:tcBorders>
              <w:top w:val="double" w:sz="4" w:space="0" w:color="auto"/>
            </w:tcBorders>
            <w:vAlign w:val="center"/>
          </w:tcPr>
          <w:p w:rsidR="000B609E" w:rsidRDefault="00B220E1">
            <w:pPr>
              <w:spacing w:after="156" w:line="360" w:lineRule="auto"/>
              <w:ind w:firstLine="402"/>
              <w:jc w:val="center"/>
              <w:rPr>
                <w:rFonts w:ascii="Times New Roman" w:eastAsia="宋体" w:hAnsi="Times New Roman" w:cs="宋体"/>
                <w:b/>
                <w:snapToGrid w:val="0"/>
                <w:color w:val="000000"/>
                <w:kern w:val="0"/>
                <w:sz w:val="20"/>
                <w:szCs w:val="20"/>
                <w:lang w:val="en-GB"/>
              </w:rPr>
            </w:pPr>
            <w:r>
              <w:rPr>
                <w:rFonts w:ascii="Times New Roman" w:eastAsia="宋体" w:hAnsi="Times New Roman" w:cs="宋体"/>
                <w:b/>
                <w:snapToGrid w:val="0"/>
                <w:color w:val="000000"/>
                <w:kern w:val="0"/>
                <w:sz w:val="20"/>
                <w:szCs w:val="20"/>
                <w:lang w:val="en-GB"/>
              </w:rPr>
              <w:t>Category</w:t>
            </w:r>
          </w:p>
        </w:tc>
        <w:tc>
          <w:tcPr>
            <w:tcW w:w="1685" w:type="dxa"/>
            <w:tcBorders>
              <w:top w:val="double" w:sz="4" w:space="0" w:color="auto"/>
            </w:tcBorders>
            <w:vAlign w:val="center"/>
          </w:tcPr>
          <w:p w:rsidR="000B609E" w:rsidRDefault="00B220E1">
            <w:pPr>
              <w:spacing w:after="156" w:line="360" w:lineRule="auto"/>
              <w:ind w:firstLine="402"/>
              <w:jc w:val="center"/>
              <w:rPr>
                <w:rFonts w:ascii="Times New Roman" w:eastAsia="宋体" w:hAnsi="Times New Roman" w:cs="宋体"/>
                <w:b/>
                <w:snapToGrid w:val="0"/>
                <w:color w:val="000000"/>
                <w:kern w:val="0"/>
                <w:sz w:val="20"/>
                <w:szCs w:val="20"/>
                <w:lang w:val="en-GB"/>
              </w:rPr>
            </w:pPr>
            <w:r>
              <w:rPr>
                <w:rFonts w:ascii="Times New Roman" w:eastAsia="宋体" w:hAnsi="Times New Roman" w:cs="宋体" w:hint="eastAsia"/>
                <w:b/>
                <w:snapToGrid w:val="0"/>
                <w:color w:val="000000"/>
                <w:kern w:val="0"/>
                <w:sz w:val="20"/>
                <w:szCs w:val="20"/>
                <w:lang w:val="en-GB"/>
              </w:rPr>
              <w:t>Useful life</w:t>
            </w:r>
          </w:p>
        </w:tc>
        <w:tc>
          <w:tcPr>
            <w:tcW w:w="1698" w:type="dxa"/>
            <w:tcBorders>
              <w:top w:val="double" w:sz="4" w:space="0" w:color="auto"/>
            </w:tcBorders>
            <w:vAlign w:val="center"/>
          </w:tcPr>
          <w:p w:rsidR="000B609E" w:rsidRDefault="00B220E1">
            <w:pPr>
              <w:spacing w:after="156" w:line="360" w:lineRule="auto"/>
              <w:ind w:firstLine="402"/>
              <w:jc w:val="center"/>
              <w:rPr>
                <w:rFonts w:ascii="Times New Roman" w:eastAsia="宋体" w:hAnsi="Times New Roman" w:cs="宋体"/>
                <w:b/>
                <w:snapToGrid w:val="0"/>
                <w:color w:val="000000"/>
                <w:kern w:val="0"/>
                <w:sz w:val="20"/>
                <w:szCs w:val="20"/>
                <w:lang w:val="en-GB"/>
              </w:rPr>
            </w:pPr>
            <w:r>
              <w:rPr>
                <w:rFonts w:ascii="Times New Roman" w:eastAsia="宋体" w:hAnsi="Times New Roman" w:cs="宋体" w:hint="eastAsia"/>
                <w:b/>
                <w:snapToGrid w:val="0"/>
                <w:color w:val="000000"/>
                <w:kern w:val="0"/>
                <w:sz w:val="20"/>
                <w:szCs w:val="20"/>
                <w:lang w:val="en-GB"/>
              </w:rPr>
              <w:t>Estimated residual value</w:t>
            </w:r>
          </w:p>
        </w:tc>
        <w:tc>
          <w:tcPr>
            <w:tcW w:w="1910" w:type="dxa"/>
            <w:tcBorders>
              <w:top w:val="double" w:sz="4" w:space="0" w:color="auto"/>
              <w:right w:val="nil"/>
            </w:tcBorders>
            <w:vAlign w:val="center"/>
          </w:tcPr>
          <w:p w:rsidR="000B609E" w:rsidRDefault="00B220E1">
            <w:pPr>
              <w:spacing w:after="156" w:line="360" w:lineRule="auto"/>
              <w:ind w:firstLine="402"/>
              <w:jc w:val="center"/>
              <w:rPr>
                <w:rFonts w:ascii="Times New Roman" w:eastAsia="宋体" w:hAnsi="Times New Roman" w:cs="宋体"/>
                <w:b/>
                <w:snapToGrid w:val="0"/>
                <w:color w:val="000000"/>
                <w:kern w:val="0"/>
                <w:sz w:val="20"/>
                <w:szCs w:val="20"/>
                <w:lang w:val="en-GB"/>
              </w:rPr>
            </w:pPr>
            <w:r>
              <w:rPr>
                <w:rFonts w:ascii="Times New Roman" w:eastAsia="宋体" w:hAnsi="Times New Roman" w:cs="宋体"/>
                <w:b/>
                <w:snapToGrid w:val="0"/>
                <w:color w:val="000000"/>
                <w:kern w:val="0"/>
                <w:sz w:val="20"/>
                <w:szCs w:val="20"/>
                <w:lang w:val="en-GB"/>
              </w:rPr>
              <w:t>Annua</w:t>
            </w:r>
            <w:r>
              <w:rPr>
                <w:rFonts w:ascii="Times New Roman" w:eastAsia="宋体" w:hAnsi="Times New Roman" w:cs="宋体" w:hint="eastAsia"/>
                <w:b/>
                <w:snapToGrid w:val="0"/>
                <w:color w:val="000000"/>
                <w:kern w:val="0"/>
                <w:sz w:val="20"/>
                <w:szCs w:val="20"/>
                <w:lang w:val="en-GB"/>
              </w:rPr>
              <w:t xml:space="preserve">l </w:t>
            </w:r>
            <w:r>
              <w:rPr>
                <w:rFonts w:ascii="Times New Roman" w:eastAsia="宋体" w:hAnsi="Times New Roman" w:cs="宋体"/>
                <w:b/>
                <w:snapToGrid w:val="0"/>
                <w:color w:val="000000"/>
                <w:kern w:val="0"/>
                <w:sz w:val="20"/>
                <w:szCs w:val="20"/>
                <w:lang w:val="en-GB"/>
              </w:rPr>
              <w:t>depreciation rate</w:t>
            </w:r>
            <w:r>
              <w:rPr>
                <w:rFonts w:ascii="Times New Roman" w:eastAsia="宋体" w:hAnsi="Times New Roman" w:cs="宋体" w:hint="eastAsia"/>
                <w:b/>
                <w:snapToGrid w:val="0"/>
                <w:color w:val="000000"/>
                <w:kern w:val="0"/>
                <w:sz w:val="20"/>
                <w:szCs w:val="20"/>
                <w:lang w:val="en-GB"/>
              </w:rPr>
              <w:t>（</w:t>
            </w:r>
            <w:r>
              <w:rPr>
                <w:rFonts w:ascii="Times New Roman" w:eastAsia="宋体" w:hAnsi="Times New Roman" w:cs="宋体" w:hint="eastAsia"/>
                <w:b/>
                <w:snapToGrid w:val="0"/>
                <w:color w:val="000000"/>
                <w:kern w:val="0"/>
                <w:sz w:val="20"/>
                <w:szCs w:val="20"/>
                <w:lang w:val="en-GB"/>
              </w:rPr>
              <w:t>%</w:t>
            </w:r>
            <w:r>
              <w:rPr>
                <w:rFonts w:ascii="Times New Roman" w:eastAsia="宋体" w:hAnsi="Times New Roman" w:cs="宋体" w:hint="eastAsia"/>
                <w:b/>
                <w:snapToGrid w:val="0"/>
                <w:color w:val="000000"/>
                <w:kern w:val="0"/>
                <w:sz w:val="20"/>
                <w:szCs w:val="20"/>
                <w:lang w:val="en-GB"/>
              </w:rPr>
              <w:t>）</w:t>
            </w:r>
          </w:p>
        </w:tc>
      </w:tr>
      <w:tr w:rsidR="000B609E">
        <w:trPr>
          <w:trHeight w:hRule="exact" w:val="358"/>
          <w:jc w:val="center"/>
        </w:trPr>
        <w:tc>
          <w:tcPr>
            <w:tcW w:w="870" w:type="dxa"/>
            <w:tcBorders>
              <w:left w:val="nil"/>
            </w:tcBorders>
            <w:vAlign w:val="center"/>
          </w:tcPr>
          <w:p w:rsidR="000B609E" w:rsidRDefault="00B220E1">
            <w:pPr>
              <w:spacing w:after="156" w:line="360" w:lineRule="auto"/>
              <w:ind w:firstLine="400"/>
              <w:jc w:val="center"/>
              <w:rPr>
                <w:rFonts w:ascii="Times New Roman" w:eastAsia="宋体" w:hAnsi="Times New Roman" w:cs="宋体"/>
                <w:snapToGrid w:val="0"/>
                <w:kern w:val="0"/>
                <w:sz w:val="20"/>
                <w:szCs w:val="20"/>
                <w:lang w:val="en-GB"/>
              </w:rPr>
            </w:pPr>
            <w:r>
              <w:rPr>
                <w:rFonts w:ascii="Times New Roman" w:eastAsia="宋体" w:hAnsi="Times New Roman" w:cs="宋体" w:hint="eastAsia"/>
                <w:snapToGrid w:val="0"/>
                <w:kern w:val="0"/>
                <w:sz w:val="20"/>
                <w:szCs w:val="20"/>
                <w:lang w:val="en-GB"/>
              </w:rPr>
              <w:t>1</w:t>
            </w:r>
          </w:p>
        </w:tc>
        <w:tc>
          <w:tcPr>
            <w:tcW w:w="2114" w:type="dxa"/>
            <w:vAlign w:val="center"/>
          </w:tcPr>
          <w:p w:rsidR="000B609E" w:rsidRDefault="00B220E1">
            <w:pPr>
              <w:spacing w:after="156" w:line="360" w:lineRule="auto"/>
              <w:ind w:firstLine="400"/>
              <w:jc w:val="center"/>
              <w:rPr>
                <w:rFonts w:ascii="Times New Roman" w:eastAsia="宋体" w:hAnsi="Times New Roman" w:cs="Times New Roman"/>
                <w:snapToGrid w:val="0"/>
                <w:kern w:val="0"/>
                <w:sz w:val="20"/>
                <w:szCs w:val="20"/>
                <w:lang w:val="en-GB"/>
              </w:rPr>
            </w:pPr>
            <w:r>
              <w:rPr>
                <w:rFonts w:ascii="Times New Roman" w:eastAsia="宋体" w:hAnsi="Times New Roman" w:cs="Times New Roman" w:hint="eastAsia"/>
                <w:snapToGrid w:val="0"/>
                <w:kern w:val="0"/>
                <w:sz w:val="20"/>
                <w:szCs w:val="20"/>
                <w:lang w:val="en-GB"/>
              </w:rPr>
              <w:t>B</w:t>
            </w:r>
            <w:r>
              <w:rPr>
                <w:rFonts w:ascii="Times New Roman" w:eastAsia="宋体" w:hAnsi="Times New Roman" w:cs="Times New Roman"/>
                <w:snapToGrid w:val="0"/>
                <w:kern w:val="0"/>
                <w:sz w:val="20"/>
                <w:szCs w:val="20"/>
                <w:lang w:val="en-GB"/>
              </w:rPr>
              <w:t>uildings</w:t>
            </w:r>
          </w:p>
        </w:tc>
        <w:tc>
          <w:tcPr>
            <w:tcW w:w="1685" w:type="dxa"/>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snapToGrid w:val="0"/>
                <w:kern w:val="0"/>
                <w:sz w:val="20"/>
                <w:szCs w:val="20"/>
                <w:lang w:val="en-GB"/>
              </w:rPr>
              <w:t>20</w:t>
            </w:r>
          </w:p>
        </w:tc>
        <w:tc>
          <w:tcPr>
            <w:tcW w:w="1698" w:type="dxa"/>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hint="eastAsia"/>
                <w:snapToGrid w:val="0"/>
                <w:kern w:val="0"/>
                <w:sz w:val="20"/>
                <w:szCs w:val="20"/>
                <w:lang w:val="en-GB"/>
              </w:rPr>
              <w:t>4</w:t>
            </w:r>
            <w:r>
              <w:rPr>
                <w:rFonts w:ascii="Arial Narrow" w:eastAsia="宋体" w:hAnsi="Arial Narrow" w:cs="Times New Roman"/>
                <w:snapToGrid w:val="0"/>
                <w:kern w:val="0"/>
                <w:sz w:val="20"/>
                <w:szCs w:val="20"/>
                <w:lang w:val="en-GB"/>
              </w:rPr>
              <w:t>%</w:t>
            </w:r>
          </w:p>
        </w:tc>
        <w:tc>
          <w:tcPr>
            <w:tcW w:w="1910" w:type="dxa"/>
            <w:tcBorders>
              <w:right w:val="nil"/>
            </w:tcBorders>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snapToGrid w:val="0"/>
                <w:kern w:val="0"/>
                <w:sz w:val="20"/>
                <w:szCs w:val="20"/>
                <w:lang w:val="en-GB"/>
              </w:rPr>
              <w:t>4.8</w:t>
            </w:r>
            <w:r>
              <w:rPr>
                <w:rFonts w:ascii="Arial Narrow" w:eastAsia="宋体" w:hAnsi="Arial Narrow" w:cs="Times New Roman" w:hint="eastAsia"/>
                <w:snapToGrid w:val="0"/>
                <w:kern w:val="0"/>
                <w:sz w:val="20"/>
                <w:szCs w:val="20"/>
                <w:lang w:val="en-GB"/>
              </w:rPr>
              <w:t>0%</w:t>
            </w:r>
          </w:p>
        </w:tc>
      </w:tr>
      <w:tr w:rsidR="000B609E">
        <w:trPr>
          <w:trHeight w:hRule="exact" w:val="418"/>
          <w:jc w:val="center"/>
        </w:trPr>
        <w:tc>
          <w:tcPr>
            <w:tcW w:w="870" w:type="dxa"/>
            <w:tcBorders>
              <w:left w:val="nil"/>
            </w:tcBorders>
            <w:vAlign w:val="center"/>
          </w:tcPr>
          <w:p w:rsidR="000B609E" w:rsidRDefault="00B220E1">
            <w:pPr>
              <w:spacing w:after="156" w:line="360" w:lineRule="auto"/>
              <w:ind w:firstLine="400"/>
              <w:jc w:val="center"/>
              <w:rPr>
                <w:rFonts w:ascii="Times New Roman" w:eastAsia="宋体" w:hAnsi="Times New Roman" w:cs="宋体"/>
                <w:snapToGrid w:val="0"/>
                <w:kern w:val="0"/>
                <w:sz w:val="20"/>
                <w:szCs w:val="20"/>
                <w:lang w:val="en-GB"/>
              </w:rPr>
            </w:pPr>
            <w:r>
              <w:rPr>
                <w:rFonts w:ascii="Times New Roman" w:eastAsia="宋体" w:hAnsi="Times New Roman" w:cs="宋体" w:hint="eastAsia"/>
                <w:snapToGrid w:val="0"/>
                <w:kern w:val="0"/>
                <w:sz w:val="20"/>
                <w:szCs w:val="20"/>
                <w:lang w:val="en-GB"/>
              </w:rPr>
              <w:t>2</w:t>
            </w:r>
          </w:p>
        </w:tc>
        <w:tc>
          <w:tcPr>
            <w:tcW w:w="2114" w:type="dxa"/>
            <w:vAlign w:val="center"/>
          </w:tcPr>
          <w:p w:rsidR="000B609E" w:rsidRDefault="00B220E1">
            <w:pPr>
              <w:spacing w:after="156" w:line="360" w:lineRule="auto"/>
              <w:ind w:firstLine="400"/>
              <w:jc w:val="center"/>
              <w:rPr>
                <w:rFonts w:ascii="Times New Roman" w:eastAsia="宋体" w:hAnsi="Times New Roman" w:cs="Times New Roman"/>
                <w:snapToGrid w:val="0"/>
                <w:kern w:val="0"/>
                <w:sz w:val="20"/>
                <w:szCs w:val="20"/>
                <w:lang w:val="en-GB"/>
              </w:rPr>
            </w:pPr>
            <w:r>
              <w:rPr>
                <w:rFonts w:ascii="Times New Roman" w:eastAsia="宋体" w:hAnsi="Times New Roman" w:cs="Times New Roman" w:hint="eastAsia"/>
                <w:snapToGrid w:val="0"/>
                <w:kern w:val="0"/>
                <w:sz w:val="20"/>
                <w:szCs w:val="20"/>
                <w:lang w:val="en-GB"/>
              </w:rPr>
              <w:t>M</w:t>
            </w:r>
            <w:r>
              <w:rPr>
                <w:rFonts w:ascii="Times New Roman" w:eastAsia="宋体" w:hAnsi="Times New Roman" w:cs="Times New Roman"/>
                <w:snapToGrid w:val="0"/>
                <w:kern w:val="0"/>
                <w:sz w:val="20"/>
                <w:szCs w:val="20"/>
                <w:lang w:val="en-GB"/>
              </w:rPr>
              <w:t>otor vehicles</w:t>
            </w:r>
          </w:p>
        </w:tc>
        <w:tc>
          <w:tcPr>
            <w:tcW w:w="1685" w:type="dxa"/>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hint="eastAsia"/>
                <w:snapToGrid w:val="0"/>
                <w:kern w:val="0"/>
                <w:sz w:val="20"/>
                <w:szCs w:val="20"/>
                <w:lang w:val="en-GB"/>
              </w:rPr>
              <w:t>4</w:t>
            </w:r>
          </w:p>
        </w:tc>
        <w:tc>
          <w:tcPr>
            <w:tcW w:w="1698" w:type="dxa"/>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hint="eastAsia"/>
                <w:snapToGrid w:val="0"/>
                <w:kern w:val="0"/>
                <w:sz w:val="20"/>
                <w:szCs w:val="20"/>
                <w:lang w:val="en-GB"/>
              </w:rPr>
              <w:t>4</w:t>
            </w:r>
            <w:r>
              <w:rPr>
                <w:rFonts w:ascii="Arial Narrow" w:eastAsia="宋体" w:hAnsi="Arial Narrow" w:cs="Times New Roman"/>
                <w:snapToGrid w:val="0"/>
                <w:kern w:val="0"/>
                <w:sz w:val="20"/>
                <w:szCs w:val="20"/>
                <w:lang w:val="en-GB"/>
              </w:rPr>
              <w:t>%</w:t>
            </w:r>
          </w:p>
        </w:tc>
        <w:tc>
          <w:tcPr>
            <w:tcW w:w="1910" w:type="dxa"/>
            <w:tcBorders>
              <w:right w:val="nil"/>
            </w:tcBorders>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hint="eastAsia"/>
                <w:snapToGrid w:val="0"/>
                <w:kern w:val="0"/>
                <w:sz w:val="20"/>
                <w:szCs w:val="20"/>
                <w:lang w:val="en-GB"/>
              </w:rPr>
              <w:t>24.00%</w:t>
            </w:r>
          </w:p>
        </w:tc>
      </w:tr>
      <w:tr w:rsidR="000B609E">
        <w:trPr>
          <w:trHeight w:hRule="exact" w:val="418"/>
          <w:jc w:val="center"/>
        </w:trPr>
        <w:tc>
          <w:tcPr>
            <w:tcW w:w="870" w:type="dxa"/>
            <w:tcBorders>
              <w:left w:val="nil"/>
            </w:tcBorders>
            <w:vAlign w:val="center"/>
          </w:tcPr>
          <w:p w:rsidR="000B609E" w:rsidRDefault="00B220E1">
            <w:pPr>
              <w:spacing w:after="156" w:line="360" w:lineRule="auto"/>
              <w:ind w:firstLine="400"/>
              <w:jc w:val="center"/>
              <w:rPr>
                <w:rFonts w:ascii="Times New Roman" w:eastAsia="宋体" w:hAnsi="Times New Roman" w:cs="宋体"/>
                <w:snapToGrid w:val="0"/>
                <w:kern w:val="0"/>
                <w:sz w:val="20"/>
                <w:szCs w:val="20"/>
                <w:lang w:val="en-GB"/>
              </w:rPr>
            </w:pPr>
            <w:r>
              <w:rPr>
                <w:rFonts w:ascii="Times New Roman" w:eastAsia="宋体" w:hAnsi="Times New Roman" w:cs="宋体" w:hint="eastAsia"/>
                <w:snapToGrid w:val="0"/>
                <w:kern w:val="0"/>
                <w:sz w:val="20"/>
                <w:szCs w:val="20"/>
                <w:lang w:val="en-GB"/>
              </w:rPr>
              <w:t>3</w:t>
            </w:r>
          </w:p>
        </w:tc>
        <w:tc>
          <w:tcPr>
            <w:tcW w:w="2114" w:type="dxa"/>
            <w:vAlign w:val="center"/>
          </w:tcPr>
          <w:p w:rsidR="000B609E" w:rsidRDefault="00B220E1">
            <w:pPr>
              <w:spacing w:after="156" w:line="360" w:lineRule="auto"/>
              <w:ind w:firstLine="400"/>
              <w:jc w:val="center"/>
              <w:rPr>
                <w:rFonts w:ascii="Times New Roman" w:eastAsia="宋体" w:hAnsi="Times New Roman" w:cs="Times New Roman"/>
                <w:snapToGrid w:val="0"/>
                <w:kern w:val="0"/>
                <w:sz w:val="20"/>
                <w:szCs w:val="20"/>
                <w:lang w:val="en-GB"/>
              </w:rPr>
            </w:pPr>
            <w:r>
              <w:rPr>
                <w:rFonts w:ascii="Times New Roman" w:eastAsia="宋体" w:hAnsi="Times New Roman" w:cs="Times New Roman" w:hint="eastAsia"/>
                <w:snapToGrid w:val="0"/>
                <w:kern w:val="0"/>
                <w:sz w:val="20"/>
                <w:szCs w:val="20"/>
                <w:lang w:val="en-GB"/>
              </w:rPr>
              <w:t>E</w:t>
            </w:r>
            <w:r>
              <w:rPr>
                <w:rFonts w:ascii="Times New Roman" w:eastAsia="宋体" w:hAnsi="Times New Roman" w:cs="Times New Roman"/>
                <w:snapToGrid w:val="0"/>
                <w:kern w:val="0"/>
                <w:sz w:val="20"/>
                <w:szCs w:val="20"/>
                <w:lang w:val="en-GB"/>
              </w:rPr>
              <w:t>lectric equipment</w:t>
            </w:r>
          </w:p>
        </w:tc>
        <w:tc>
          <w:tcPr>
            <w:tcW w:w="1685" w:type="dxa"/>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snapToGrid w:val="0"/>
                <w:kern w:val="0"/>
                <w:sz w:val="20"/>
                <w:szCs w:val="20"/>
                <w:lang w:val="en-GB"/>
              </w:rPr>
              <w:t>3</w:t>
            </w:r>
          </w:p>
        </w:tc>
        <w:tc>
          <w:tcPr>
            <w:tcW w:w="1698" w:type="dxa"/>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hint="eastAsia"/>
                <w:snapToGrid w:val="0"/>
                <w:kern w:val="0"/>
                <w:sz w:val="20"/>
                <w:szCs w:val="20"/>
                <w:lang w:val="en-GB"/>
              </w:rPr>
              <w:t>0</w:t>
            </w:r>
            <w:r>
              <w:rPr>
                <w:rFonts w:ascii="Arial Narrow" w:eastAsia="宋体" w:hAnsi="Arial Narrow" w:cs="Times New Roman"/>
                <w:snapToGrid w:val="0"/>
                <w:kern w:val="0"/>
                <w:sz w:val="20"/>
                <w:szCs w:val="20"/>
                <w:lang w:val="en-GB"/>
              </w:rPr>
              <w:t>%</w:t>
            </w:r>
          </w:p>
        </w:tc>
        <w:tc>
          <w:tcPr>
            <w:tcW w:w="1910" w:type="dxa"/>
            <w:tcBorders>
              <w:right w:val="nil"/>
            </w:tcBorders>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snapToGrid w:val="0"/>
                <w:kern w:val="0"/>
                <w:sz w:val="20"/>
                <w:szCs w:val="20"/>
                <w:lang w:val="en-GB"/>
              </w:rPr>
              <w:t>3</w:t>
            </w:r>
            <w:r>
              <w:rPr>
                <w:rFonts w:ascii="Arial Narrow" w:eastAsia="宋体" w:hAnsi="Arial Narrow" w:cs="Times New Roman" w:hint="eastAsia"/>
                <w:snapToGrid w:val="0"/>
                <w:kern w:val="0"/>
                <w:sz w:val="20"/>
                <w:szCs w:val="20"/>
                <w:lang w:val="en-GB"/>
              </w:rPr>
              <w:t>3.33%</w:t>
            </w:r>
          </w:p>
        </w:tc>
      </w:tr>
      <w:tr w:rsidR="000B609E">
        <w:trPr>
          <w:trHeight w:hRule="exact" w:val="418"/>
          <w:jc w:val="center"/>
        </w:trPr>
        <w:tc>
          <w:tcPr>
            <w:tcW w:w="870" w:type="dxa"/>
            <w:tcBorders>
              <w:left w:val="nil"/>
            </w:tcBorders>
            <w:vAlign w:val="center"/>
          </w:tcPr>
          <w:p w:rsidR="000B609E" w:rsidRDefault="00B220E1">
            <w:pPr>
              <w:spacing w:after="156" w:line="360" w:lineRule="auto"/>
              <w:ind w:firstLine="400"/>
              <w:jc w:val="center"/>
              <w:rPr>
                <w:rFonts w:ascii="Times New Roman" w:eastAsia="宋体" w:hAnsi="Times New Roman" w:cs="宋体"/>
                <w:snapToGrid w:val="0"/>
                <w:kern w:val="0"/>
                <w:sz w:val="20"/>
                <w:szCs w:val="20"/>
                <w:lang w:val="en-GB"/>
              </w:rPr>
            </w:pPr>
            <w:r>
              <w:rPr>
                <w:rFonts w:ascii="Times New Roman" w:eastAsia="宋体" w:hAnsi="Times New Roman" w:cs="宋体" w:hint="eastAsia"/>
                <w:snapToGrid w:val="0"/>
                <w:kern w:val="0"/>
                <w:sz w:val="20"/>
                <w:szCs w:val="20"/>
                <w:lang w:val="en-GB"/>
              </w:rPr>
              <w:t>4</w:t>
            </w:r>
          </w:p>
        </w:tc>
        <w:tc>
          <w:tcPr>
            <w:tcW w:w="2114" w:type="dxa"/>
            <w:vAlign w:val="center"/>
          </w:tcPr>
          <w:p w:rsidR="000B609E" w:rsidRDefault="00B220E1">
            <w:pPr>
              <w:spacing w:after="156" w:line="360" w:lineRule="auto"/>
              <w:ind w:firstLine="400"/>
              <w:jc w:val="center"/>
              <w:rPr>
                <w:rFonts w:ascii="Times New Roman" w:eastAsia="宋体" w:hAnsi="Times New Roman" w:cs="Times New Roman"/>
                <w:snapToGrid w:val="0"/>
                <w:kern w:val="0"/>
                <w:sz w:val="20"/>
                <w:szCs w:val="20"/>
                <w:lang w:val="en-GB"/>
              </w:rPr>
            </w:pPr>
            <w:r>
              <w:rPr>
                <w:rFonts w:ascii="Times New Roman" w:eastAsia="宋体" w:hAnsi="Times New Roman" w:cs="Times New Roman" w:hint="eastAsia"/>
                <w:snapToGrid w:val="0"/>
                <w:kern w:val="0"/>
                <w:sz w:val="20"/>
                <w:szCs w:val="20"/>
                <w:lang w:val="en-GB"/>
              </w:rPr>
              <w:t>M</w:t>
            </w:r>
            <w:r>
              <w:rPr>
                <w:rFonts w:ascii="Times New Roman" w:eastAsia="宋体" w:hAnsi="Times New Roman" w:cs="Times New Roman"/>
                <w:snapToGrid w:val="0"/>
                <w:kern w:val="0"/>
                <w:sz w:val="20"/>
                <w:szCs w:val="20"/>
                <w:lang w:val="en-GB"/>
              </w:rPr>
              <w:t>achinery equipment</w:t>
            </w:r>
          </w:p>
        </w:tc>
        <w:tc>
          <w:tcPr>
            <w:tcW w:w="1685" w:type="dxa"/>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snapToGrid w:val="0"/>
                <w:kern w:val="0"/>
                <w:sz w:val="20"/>
                <w:szCs w:val="20"/>
                <w:lang w:val="en-GB"/>
              </w:rPr>
              <w:t>5</w:t>
            </w:r>
          </w:p>
        </w:tc>
        <w:tc>
          <w:tcPr>
            <w:tcW w:w="1698" w:type="dxa"/>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hint="eastAsia"/>
                <w:snapToGrid w:val="0"/>
                <w:kern w:val="0"/>
                <w:sz w:val="20"/>
                <w:szCs w:val="20"/>
                <w:lang w:val="en-GB"/>
              </w:rPr>
              <w:t>4</w:t>
            </w:r>
            <w:r>
              <w:rPr>
                <w:rFonts w:ascii="Arial Narrow" w:eastAsia="宋体" w:hAnsi="Arial Narrow" w:cs="Times New Roman"/>
                <w:snapToGrid w:val="0"/>
                <w:kern w:val="0"/>
                <w:sz w:val="20"/>
                <w:szCs w:val="20"/>
                <w:lang w:val="en-GB"/>
              </w:rPr>
              <w:t>%</w:t>
            </w:r>
          </w:p>
        </w:tc>
        <w:tc>
          <w:tcPr>
            <w:tcW w:w="1910" w:type="dxa"/>
            <w:tcBorders>
              <w:right w:val="nil"/>
            </w:tcBorders>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snapToGrid w:val="0"/>
                <w:kern w:val="0"/>
                <w:sz w:val="20"/>
                <w:szCs w:val="20"/>
                <w:lang w:val="en-GB"/>
              </w:rPr>
              <w:t>19.</w:t>
            </w:r>
            <w:r>
              <w:rPr>
                <w:rFonts w:ascii="Arial Narrow" w:eastAsia="宋体" w:hAnsi="Arial Narrow" w:cs="Times New Roman" w:hint="eastAsia"/>
                <w:snapToGrid w:val="0"/>
                <w:kern w:val="0"/>
                <w:sz w:val="20"/>
                <w:szCs w:val="20"/>
                <w:lang w:val="en-GB"/>
              </w:rPr>
              <w:t>20%</w:t>
            </w:r>
          </w:p>
        </w:tc>
      </w:tr>
      <w:tr w:rsidR="000B609E">
        <w:trPr>
          <w:trHeight w:hRule="exact" w:val="418"/>
          <w:jc w:val="center"/>
        </w:trPr>
        <w:tc>
          <w:tcPr>
            <w:tcW w:w="870" w:type="dxa"/>
            <w:tcBorders>
              <w:left w:val="nil"/>
              <w:bottom w:val="double" w:sz="4" w:space="0" w:color="auto"/>
            </w:tcBorders>
            <w:vAlign w:val="center"/>
          </w:tcPr>
          <w:p w:rsidR="000B609E" w:rsidRDefault="00B220E1">
            <w:pPr>
              <w:spacing w:after="156" w:line="360" w:lineRule="auto"/>
              <w:ind w:firstLine="400"/>
              <w:jc w:val="center"/>
              <w:rPr>
                <w:rFonts w:ascii="Times New Roman" w:eastAsia="宋体" w:hAnsi="Times New Roman" w:cs="宋体"/>
                <w:snapToGrid w:val="0"/>
                <w:kern w:val="0"/>
                <w:sz w:val="20"/>
                <w:szCs w:val="20"/>
                <w:lang w:val="en-GB"/>
              </w:rPr>
            </w:pPr>
            <w:r>
              <w:rPr>
                <w:rFonts w:ascii="Times New Roman" w:eastAsia="宋体" w:hAnsi="Times New Roman" w:cs="宋体" w:hint="eastAsia"/>
                <w:snapToGrid w:val="0"/>
                <w:kern w:val="0"/>
                <w:sz w:val="20"/>
                <w:szCs w:val="20"/>
                <w:lang w:val="en-GB"/>
              </w:rPr>
              <w:t>5</w:t>
            </w:r>
          </w:p>
        </w:tc>
        <w:tc>
          <w:tcPr>
            <w:tcW w:w="2114" w:type="dxa"/>
            <w:tcBorders>
              <w:bottom w:val="double" w:sz="4" w:space="0" w:color="auto"/>
            </w:tcBorders>
            <w:vAlign w:val="center"/>
          </w:tcPr>
          <w:p w:rsidR="000B609E" w:rsidRDefault="00B220E1">
            <w:pPr>
              <w:spacing w:after="156" w:line="360" w:lineRule="auto"/>
              <w:ind w:firstLine="400"/>
              <w:jc w:val="center"/>
              <w:rPr>
                <w:rFonts w:ascii="Times New Roman" w:eastAsia="宋体" w:hAnsi="Times New Roman" w:cs="Times New Roman"/>
                <w:snapToGrid w:val="0"/>
                <w:kern w:val="0"/>
                <w:sz w:val="20"/>
                <w:szCs w:val="20"/>
                <w:lang w:val="en-GB"/>
              </w:rPr>
            </w:pPr>
            <w:r>
              <w:rPr>
                <w:rFonts w:ascii="Times New Roman" w:eastAsia="宋体" w:hAnsi="Times New Roman" w:cs="Times New Roman"/>
                <w:snapToGrid w:val="0"/>
                <w:kern w:val="0"/>
                <w:sz w:val="20"/>
                <w:szCs w:val="20"/>
                <w:lang w:val="en-GB"/>
              </w:rPr>
              <w:t>O</w:t>
            </w:r>
            <w:r>
              <w:rPr>
                <w:rFonts w:ascii="Times New Roman" w:eastAsia="宋体" w:hAnsi="Times New Roman" w:cs="Times New Roman" w:hint="eastAsia"/>
                <w:snapToGrid w:val="0"/>
                <w:kern w:val="0"/>
                <w:sz w:val="20"/>
                <w:szCs w:val="20"/>
                <w:lang w:val="en-GB"/>
              </w:rPr>
              <w:t>ther fixed assets</w:t>
            </w:r>
          </w:p>
        </w:tc>
        <w:tc>
          <w:tcPr>
            <w:tcW w:w="1685" w:type="dxa"/>
            <w:tcBorders>
              <w:bottom w:val="double" w:sz="4" w:space="0" w:color="auto"/>
            </w:tcBorders>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snapToGrid w:val="0"/>
                <w:kern w:val="0"/>
                <w:sz w:val="20"/>
                <w:szCs w:val="20"/>
                <w:lang w:val="en-GB"/>
              </w:rPr>
              <w:t>3</w:t>
            </w:r>
          </w:p>
        </w:tc>
        <w:tc>
          <w:tcPr>
            <w:tcW w:w="1698" w:type="dxa"/>
            <w:tcBorders>
              <w:bottom w:val="double" w:sz="4" w:space="0" w:color="auto"/>
            </w:tcBorders>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hint="eastAsia"/>
                <w:snapToGrid w:val="0"/>
                <w:kern w:val="0"/>
                <w:sz w:val="20"/>
                <w:szCs w:val="20"/>
                <w:lang w:val="en-GB"/>
              </w:rPr>
              <w:t>0</w:t>
            </w:r>
            <w:r>
              <w:rPr>
                <w:rFonts w:ascii="Arial Narrow" w:eastAsia="宋体" w:hAnsi="Arial Narrow" w:cs="Times New Roman"/>
                <w:snapToGrid w:val="0"/>
                <w:kern w:val="0"/>
                <w:sz w:val="20"/>
                <w:szCs w:val="20"/>
                <w:lang w:val="en-GB"/>
              </w:rPr>
              <w:t>%</w:t>
            </w:r>
          </w:p>
        </w:tc>
        <w:tc>
          <w:tcPr>
            <w:tcW w:w="1910" w:type="dxa"/>
            <w:tcBorders>
              <w:bottom w:val="double" w:sz="4" w:space="0" w:color="auto"/>
              <w:right w:val="nil"/>
            </w:tcBorders>
            <w:vAlign w:val="center"/>
          </w:tcPr>
          <w:p w:rsidR="000B609E" w:rsidRDefault="00B220E1">
            <w:pPr>
              <w:spacing w:after="156" w:line="360" w:lineRule="auto"/>
              <w:ind w:firstLine="400"/>
              <w:jc w:val="center"/>
              <w:rPr>
                <w:rFonts w:ascii="Arial Narrow" w:eastAsia="宋体" w:hAnsi="Arial Narrow" w:cs="Times New Roman"/>
                <w:snapToGrid w:val="0"/>
                <w:kern w:val="0"/>
                <w:sz w:val="20"/>
                <w:szCs w:val="20"/>
                <w:lang w:val="en-GB"/>
              </w:rPr>
            </w:pPr>
            <w:r>
              <w:rPr>
                <w:rFonts w:ascii="Arial Narrow" w:eastAsia="宋体" w:hAnsi="Arial Narrow" w:cs="Times New Roman"/>
                <w:snapToGrid w:val="0"/>
                <w:kern w:val="0"/>
                <w:sz w:val="20"/>
                <w:szCs w:val="20"/>
                <w:lang w:val="en-GB"/>
              </w:rPr>
              <w:t>3</w:t>
            </w:r>
            <w:r>
              <w:rPr>
                <w:rFonts w:ascii="Arial Narrow" w:eastAsia="宋体" w:hAnsi="Arial Narrow" w:cs="Times New Roman" w:hint="eastAsia"/>
                <w:snapToGrid w:val="0"/>
                <w:kern w:val="0"/>
                <w:sz w:val="20"/>
                <w:szCs w:val="20"/>
                <w:lang w:val="en-GB"/>
              </w:rPr>
              <w:t>3</w:t>
            </w:r>
            <w:r>
              <w:rPr>
                <w:rFonts w:ascii="Arial Narrow" w:eastAsia="宋体" w:hAnsi="Arial Narrow" w:cs="Times New Roman"/>
                <w:snapToGrid w:val="0"/>
                <w:kern w:val="0"/>
                <w:sz w:val="20"/>
                <w:szCs w:val="20"/>
                <w:lang w:val="en-GB"/>
              </w:rPr>
              <w:t>.33</w:t>
            </w:r>
            <w:r>
              <w:rPr>
                <w:rFonts w:ascii="Arial Narrow" w:eastAsia="宋体" w:hAnsi="Arial Narrow" w:cs="Times New Roman" w:hint="eastAsia"/>
                <w:snapToGrid w:val="0"/>
                <w:kern w:val="0"/>
                <w:sz w:val="20"/>
                <w:szCs w:val="20"/>
                <w:lang w:val="en-GB"/>
              </w:rPr>
              <w:t>%</w:t>
            </w:r>
          </w:p>
        </w:tc>
      </w:tr>
    </w:tbl>
    <w:p w:rsidR="000B609E" w:rsidRDefault="00B220E1">
      <w:pPr>
        <w:pStyle w:val="11"/>
        <w:spacing w:beforeLines="50" w:before="156"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reviews the useful life, the estimated residual value and the depreciation methods at the end of each year and adjusts it if necessary.</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A fixed asset is derecognized on disposal or when no future economic benefits are expected from its use or disposal. The amount of proceeds from disposals on sale, transfer, retirement or damage of a fixed asset net of </w:t>
      </w:r>
      <w:proofErr w:type="gramStart"/>
      <w:r>
        <w:rPr>
          <w:rFonts w:ascii="Times New Roman" w:hAnsi="Times New Roman" w:cs="Times New Roman"/>
          <w:sz w:val="24"/>
          <w:szCs w:val="24"/>
        </w:rPr>
        <w:t>its</w:t>
      </w:r>
      <w:proofErr w:type="gramEnd"/>
      <w:r>
        <w:rPr>
          <w:rFonts w:ascii="Times New Roman" w:hAnsi="Times New Roman" w:cs="Times New Roman"/>
          <w:sz w:val="24"/>
          <w:szCs w:val="24"/>
        </w:rPr>
        <w:t xml:space="preserve"> carrying amount and related taxes and expenses is recognized in profit or loss for the current period.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When the recoverable amount is lower than </w:t>
      </w:r>
      <w:proofErr w:type="gramStart"/>
      <w:r>
        <w:rPr>
          <w:rFonts w:ascii="Times New Roman" w:hAnsi="Times New Roman" w:cs="Times New Roman"/>
          <w:sz w:val="24"/>
          <w:szCs w:val="24"/>
        </w:rPr>
        <w:t>its</w:t>
      </w:r>
      <w:proofErr w:type="gramEnd"/>
      <w:r>
        <w:rPr>
          <w:rFonts w:ascii="Times New Roman" w:hAnsi="Times New Roman" w:cs="Times New Roman"/>
          <w:sz w:val="24"/>
          <w:szCs w:val="24"/>
        </w:rPr>
        <w:t xml:space="preserve"> carrying amount, it shall be written down immediately to the recoverable amount.</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15. Construction in progress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Construction in progress is measured at actual cost. Actual cost comprises construction costs, installation costs and other costs necessary to bring the assets ready for their intended use. Construction in progress is transferred to fixed assets</w:t>
      </w:r>
      <w:r>
        <w:rPr>
          <w:rFonts w:ascii="Times New Roman" w:hAnsi="Times New Roman" w:cs="Times New Roman" w:hint="eastAsia"/>
          <w:sz w:val="24"/>
          <w:szCs w:val="24"/>
        </w:rPr>
        <w:t xml:space="preserve">, </w:t>
      </w:r>
      <w:r>
        <w:rPr>
          <w:rFonts w:ascii="Times New Roman" w:hAnsi="Times New Roman" w:cs="Times New Roman"/>
          <w:sz w:val="24"/>
          <w:szCs w:val="24"/>
        </w:rPr>
        <w:t>intangible</w:t>
      </w:r>
      <w:r>
        <w:rPr>
          <w:rFonts w:ascii="Times New Roman" w:hAnsi="Times New Roman" w:cs="Times New Roman" w:hint="eastAsia"/>
          <w:sz w:val="24"/>
          <w:szCs w:val="24"/>
        </w:rPr>
        <w:t xml:space="preserve"> assets or long-term </w:t>
      </w:r>
      <w:r>
        <w:rPr>
          <w:rFonts w:ascii="Times New Roman" w:hAnsi="Times New Roman" w:cs="Times New Roman"/>
          <w:sz w:val="24"/>
          <w:szCs w:val="24"/>
        </w:rPr>
        <w:t>deferred</w:t>
      </w:r>
      <w:r>
        <w:rPr>
          <w:rFonts w:ascii="Times New Roman" w:hAnsi="Times New Roman" w:cs="Times New Roman" w:hint="eastAsia"/>
          <w:sz w:val="24"/>
          <w:szCs w:val="24"/>
        </w:rPr>
        <w:t xml:space="preserve"> expenses</w:t>
      </w:r>
      <w:r>
        <w:rPr>
          <w:rFonts w:ascii="Times New Roman" w:hAnsi="Times New Roman" w:cs="Times New Roman"/>
          <w:sz w:val="24"/>
          <w:szCs w:val="24"/>
        </w:rPr>
        <w:t xml:space="preserve"> when the assets are ready for their intended use</w:t>
      </w:r>
      <w:r>
        <w:rPr>
          <w:rFonts w:ascii="Times New Roman" w:hAnsi="Times New Roman" w:cs="Times New Roman" w:hint="eastAsia"/>
          <w:sz w:val="24"/>
          <w:szCs w:val="24"/>
        </w:rPr>
        <w:t>.</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lastRenderedPageBreak/>
        <w:t>16. Intangible assets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Intangible asset </w:t>
      </w:r>
      <w:r>
        <w:rPr>
          <w:rFonts w:ascii="Times New Roman" w:hAnsi="Times New Roman" w:cs="Times New Roman" w:hint="eastAsia"/>
          <w:sz w:val="24"/>
          <w:szCs w:val="24"/>
        </w:rPr>
        <w:t>is an</w:t>
      </w:r>
      <w:r>
        <w:rPr>
          <w:rFonts w:ascii="Times New Roman" w:hAnsi="Times New Roman" w:cs="Times New Roman"/>
          <w:sz w:val="24"/>
          <w:szCs w:val="24"/>
        </w:rPr>
        <w:t xml:space="preserve"> identifiable non-monetary asset without physical substance</w:t>
      </w:r>
      <w:r>
        <w:rPr>
          <w:rFonts w:ascii="Times New Roman" w:hAnsi="Times New Roman" w:cs="Times New Roman" w:hint="eastAsia"/>
          <w:sz w:val="24"/>
          <w:szCs w:val="24"/>
        </w:rPr>
        <w:t xml:space="preserve">, which is controlled or owned by the Group. </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When obtaining the intangible assets, the book-keeping shall be conducted by taking the actually paid price and other relevant expenditures as the costs. The intangible assets with limited service life shall be amortized on average within the service life. The intangible assets with uncertain service life shall not be amortized. As for whether there is the sign of impairment towards the intangible assets with uncertain service life, the impairment test shall be conducted at least at the end of each year.</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17. Long-term deferred expenses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Long-term prepaid expenses include the expenditure for improvements to fixed assets held under operating leases, and other expenditures that have been incurred but should be recognized as expenses over more than one year in the current and subsequent periods. Long-term prepaid expenses are amortized on the straight-line basis over the expected beneficial period and are presented at actual expenditure net of accumulated amortization.</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18. Impairment of assets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Except for financial assets and </w:t>
      </w:r>
      <w:r>
        <w:rPr>
          <w:rFonts w:ascii="Times New Roman" w:hAnsi="Times New Roman" w:cs="Times New Roman" w:hint="eastAsia"/>
          <w:sz w:val="24"/>
          <w:szCs w:val="24"/>
        </w:rPr>
        <w:t>f</w:t>
      </w:r>
      <w:r>
        <w:rPr>
          <w:rFonts w:ascii="Times New Roman" w:hAnsi="Times New Roman" w:cs="Times New Roman"/>
          <w:sz w:val="24"/>
          <w:szCs w:val="24"/>
        </w:rPr>
        <w:t>oreclosed assets, the impairment of assets of the Group is determined by the following method: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On the balance sheet date, the Group </w:t>
      </w:r>
      <w:r>
        <w:rPr>
          <w:rFonts w:ascii="Times New Roman" w:hAnsi="Times New Roman" w:cs="Times New Roman" w:hint="eastAsia"/>
          <w:sz w:val="24"/>
          <w:szCs w:val="24"/>
        </w:rPr>
        <w:t xml:space="preserve">makes the </w:t>
      </w:r>
      <w:r>
        <w:rPr>
          <w:rFonts w:ascii="Times New Roman" w:hAnsi="Times New Roman" w:cs="Times New Roman"/>
          <w:sz w:val="24"/>
          <w:szCs w:val="24"/>
        </w:rPr>
        <w:t>judgment</w:t>
      </w:r>
      <w:r>
        <w:rPr>
          <w:rFonts w:ascii="Times New Roman" w:hAnsi="Times New Roman" w:cs="Times New Roman" w:hint="eastAsia"/>
          <w:sz w:val="24"/>
          <w:szCs w:val="24"/>
        </w:rPr>
        <w:t xml:space="preserve"> on</w:t>
      </w:r>
      <w:r>
        <w:rPr>
          <w:rFonts w:ascii="Times New Roman" w:hAnsi="Times New Roman" w:cs="Times New Roman"/>
          <w:sz w:val="24"/>
          <w:szCs w:val="24"/>
        </w:rPr>
        <w:t xml:space="preserve"> whether there is any indication that the asset may be impaired. If there is any indication of impairment, the Group will estimate the recoverable amount and conduct an impairment test. For the intangible assets</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with indefinite service life </w:t>
      </w:r>
      <w:r>
        <w:rPr>
          <w:rFonts w:ascii="Times New Roman" w:hAnsi="Times New Roman" w:cs="Times New Roman" w:hint="eastAsia"/>
          <w:sz w:val="24"/>
          <w:szCs w:val="24"/>
        </w:rPr>
        <w:t>and</w:t>
      </w:r>
      <w:r>
        <w:rPr>
          <w:rFonts w:ascii="Times New Roman" w:hAnsi="Times New Roman" w:cs="Times New Roman"/>
          <w:sz w:val="24"/>
          <w:szCs w:val="24"/>
        </w:rPr>
        <w:t xml:space="preserve"> goodwill due to business combination, whether or not there is any indication of impairment, </w:t>
      </w:r>
      <w:r>
        <w:rPr>
          <w:rFonts w:ascii="Times New Roman" w:hAnsi="Times New Roman" w:cs="Times New Roman" w:hint="eastAsia"/>
          <w:sz w:val="24"/>
          <w:szCs w:val="24"/>
        </w:rPr>
        <w:t xml:space="preserve">the Group must </w:t>
      </w:r>
      <w:r>
        <w:rPr>
          <w:rFonts w:ascii="Times New Roman" w:hAnsi="Times New Roman" w:cs="Times New Roman"/>
          <w:sz w:val="24"/>
          <w:szCs w:val="24"/>
        </w:rPr>
        <w:t>carry out</w:t>
      </w:r>
      <w:r>
        <w:rPr>
          <w:rFonts w:ascii="Times New Roman" w:hAnsi="Times New Roman" w:cs="Times New Roman" w:hint="eastAsia"/>
          <w:sz w:val="24"/>
          <w:szCs w:val="24"/>
        </w:rPr>
        <w:t xml:space="preserve"> the</w:t>
      </w:r>
      <w:r>
        <w:rPr>
          <w:rFonts w:ascii="Times New Roman" w:hAnsi="Times New Roman" w:cs="Times New Roman"/>
          <w:sz w:val="24"/>
          <w:szCs w:val="24"/>
        </w:rPr>
        <w:t xml:space="preserve"> impairment test</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at the end of each year. Impairment tests are also </w:t>
      </w:r>
      <w:r>
        <w:rPr>
          <w:rFonts w:ascii="Times New Roman" w:hAnsi="Times New Roman" w:cs="Times New Roman"/>
          <w:sz w:val="24"/>
          <w:szCs w:val="24"/>
        </w:rPr>
        <w:lastRenderedPageBreak/>
        <w:t>conducted annually for intangible assets that have not yet</w:t>
      </w:r>
      <w:r>
        <w:rPr>
          <w:rFonts w:ascii="Times New Roman" w:hAnsi="Times New Roman" w:cs="Times New Roman" w:hint="eastAsia"/>
          <w:sz w:val="24"/>
          <w:szCs w:val="24"/>
        </w:rPr>
        <w:t xml:space="preserve"> been ready for the intend use</w:t>
      </w:r>
      <w:r>
        <w:rPr>
          <w:rFonts w:ascii="Times New Roman" w:hAnsi="Times New Roman" w:cs="Times New Roman"/>
          <w:sz w:val="24"/>
          <w:szCs w:val="24"/>
        </w:rPr>
        <w: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indications that the Group uses to </w:t>
      </w:r>
      <w:r>
        <w:rPr>
          <w:rFonts w:ascii="Times New Roman" w:hAnsi="Times New Roman" w:cs="Times New Roman" w:hint="eastAsia"/>
          <w:sz w:val="24"/>
          <w:szCs w:val="24"/>
        </w:rPr>
        <w:t>determine</w:t>
      </w:r>
      <w:r>
        <w:rPr>
          <w:rFonts w:ascii="Times New Roman" w:hAnsi="Times New Roman" w:cs="Times New Roman"/>
          <w:sz w:val="24"/>
          <w:szCs w:val="24"/>
        </w:rPr>
        <w:t xml:space="preserve"> whether assets are impaired include: (1) the market price of assets has fallen sharply in the current period, and the decline is significantly higher than the expected decline due to the passage of time or normal use. (2) The economic, technological or legal environment in which the Group operates and the market in which the assets are located will undergo significant change</w:t>
      </w:r>
      <w:r>
        <w:rPr>
          <w:rFonts w:ascii="Times New Roman" w:hAnsi="Times New Roman" w:cs="Times New Roman" w:hint="eastAsia"/>
          <w:sz w:val="24"/>
          <w:szCs w:val="24"/>
        </w:rPr>
        <w:t>s</w:t>
      </w:r>
      <w:r>
        <w:rPr>
          <w:rFonts w:ascii="Times New Roman" w:hAnsi="Times New Roman" w:cs="Times New Roman"/>
          <w:sz w:val="24"/>
          <w:szCs w:val="24"/>
        </w:rPr>
        <w:t xml:space="preserve"> in the current period or in the immediate future, </w:t>
      </w:r>
      <w:r>
        <w:rPr>
          <w:rFonts w:ascii="Times New Roman" w:hAnsi="Times New Roman" w:cs="Times New Roman" w:hint="eastAsia"/>
          <w:sz w:val="24"/>
          <w:szCs w:val="24"/>
        </w:rPr>
        <w:t>these changes</w:t>
      </w:r>
      <w:r>
        <w:rPr>
          <w:rFonts w:ascii="Times New Roman" w:hAnsi="Times New Roman" w:cs="Times New Roman"/>
          <w:sz w:val="24"/>
          <w:szCs w:val="24"/>
        </w:rPr>
        <w:t xml:space="preserve"> will have an adverse impact on the assets. (3) The market interest rate or other market investment return rate has been increased in the current period, resulting in a substantial reduction in the recoverable amount of assets. (4) There is evidence that the assets are obsolete or the</w:t>
      </w:r>
      <w:r>
        <w:rPr>
          <w:rFonts w:ascii="Times New Roman" w:hAnsi="Times New Roman" w:cs="Times New Roman" w:hint="eastAsia"/>
          <w:sz w:val="24"/>
          <w:szCs w:val="24"/>
        </w:rPr>
        <w:t>y</w:t>
      </w:r>
      <w:r>
        <w:rPr>
          <w:rFonts w:ascii="Times New Roman" w:hAnsi="Times New Roman" w:cs="Times New Roman"/>
          <w:sz w:val="24"/>
          <w:szCs w:val="24"/>
        </w:rPr>
        <w:t xml:space="preserve"> have been damaged. (5) Assets have been or will be idled, terminated, or disposed in advance. (6) There is evidence that the economic performance of the assets has been lower or will be lower than expected. (7) Other indications that the asset may have been impaired.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recoverable amount is the higher of an asset’s fair value less costs to sell and the present value of the future cash flows expected to be derived from the asset.</w:t>
      </w:r>
      <w:r>
        <w:t xml:space="preserve"> </w:t>
      </w:r>
      <w:r>
        <w:rPr>
          <w:rFonts w:ascii="Times New Roman" w:hAnsi="Times New Roman" w:cs="Times New Roman"/>
          <w:sz w:val="24"/>
          <w:szCs w:val="24"/>
        </w:rPr>
        <w:t>Provision for asset impairment is determined and recognized on the individual asset basis. If it is not possible to estimate the recoverable amount of an individual asset, the recoverable amount of a group of assets to which the asset belongs is determined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When the recoverable amount of an asset is lower than its book value, the Group writes down its book value to the recoverable amount, and the reduced amount is charged to the current profit and loss, and </w:t>
      </w:r>
      <w:r>
        <w:rPr>
          <w:rFonts w:ascii="Times New Roman" w:hAnsi="Times New Roman" w:cs="Times New Roman" w:hint="eastAsia"/>
          <w:sz w:val="24"/>
          <w:szCs w:val="24"/>
        </w:rPr>
        <w:t>record</w:t>
      </w:r>
      <w:r>
        <w:rPr>
          <w:rFonts w:ascii="Times New Roman" w:hAnsi="Times New Roman" w:cs="Times New Roman"/>
          <w:sz w:val="24"/>
          <w:szCs w:val="24"/>
        </w:rPr>
        <w:t xml:space="preserve"> provision for </w:t>
      </w:r>
      <w:r>
        <w:rPr>
          <w:rFonts w:ascii="Times New Roman" w:hAnsi="Times New Roman" w:cs="Times New Roman" w:hint="eastAsia"/>
          <w:sz w:val="24"/>
          <w:szCs w:val="24"/>
        </w:rPr>
        <w:t xml:space="preserve">related </w:t>
      </w:r>
      <w:r>
        <w:rPr>
          <w:rFonts w:ascii="Times New Roman" w:hAnsi="Times New Roman" w:cs="Times New Roman"/>
          <w:sz w:val="24"/>
          <w:szCs w:val="24"/>
        </w:rPr>
        <w:t>asset impairment.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goodwill </w:t>
      </w:r>
      <w:r>
        <w:rPr>
          <w:rFonts w:ascii="Times New Roman" w:hAnsi="Times New Roman" w:cs="Times New Roman" w:hint="eastAsia"/>
          <w:sz w:val="24"/>
          <w:szCs w:val="24"/>
        </w:rPr>
        <w:t>due to</w:t>
      </w:r>
      <w:r>
        <w:rPr>
          <w:rFonts w:ascii="Times New Roman" w:hAnsi="Times New Roman" w:cs="Times New Roman"/>
          <w:sz w:val="24"/>
          <w:szCs w:val="24"/>
        </w:rPr>
        <w:t xml:space="preserve"> a business combination, its book value is allocated to the relevant asset group in a reasonable </w:t>
      </w:r>
      <w:r>
        <w:rPr>
          <w:rFonts w:ascii="Times New Roman" w:hAnsi="Times New Roman" w:cs="Times New Roman" w:hint="eastAsia"/>
          <w:sz w:val="24"/>
          <w:szCs w:val="24"/>
        </w:rPr>
        <w:t>way</w:t>
      </w:r>
      <w:r>
        <w:rPr>
          <w:rFonts w:ascii="Times New Roman" w:hAnsi="Times New Roman" w:cs="Times New Roman"/>
          <w:sz w:val="24"/>
          <w:szCs w:val="24"/>
        </w:rPr>
        <w:t xml:space="preserve"> </w:t>
      </w:r>
      <w:r>
        <w:rPr>
          <w:rFonts w:ascii="Times New Roman" w:hAnsi="Times New Roman" w:cs="Times New Roman" w:hint="eastAsia"/>
          <w:sz w:val="24"/>
          <w:szCs w:val="24"/>
        </w:rPr>
        <w:t>since</w:t>
      </w:r>
      <w:r>
        <w:rPr>
          <w:rFonts w:ascii="Times New Roman" w:hAnsi="Times New Roman" w:cs="Times New Roman"/>
          <w:sz w:val="24"/>
          <w:szCs w:val="24"/>
        </w:rPr>
        <w:t xml:space="preserve"> the </w:t>
      </w:r>
      <w:r>
        <w:rPr>
          <w:rFonts w:ascii="Times New Roman" w:hAnsi="Times New Roman" w:cs="Times New Roman" w:hint="eastAsia"/>
          <w:sz w:val="24"/>
          <w:szCs w:val="24"/>
        </w:rPr>
        <w:t>acquisition date.</w:t>
      </w:r>
      <w:r>
        <w:rPr>
          <w:rFonts w:ascii="Times New Roman" w:hAnsi="Times New Roman" w:cs="Times New Roman"/>
          <w:sz w:val="24"/>
          <w:szCs w:val="24"/>
        </w:rPr>
        <w:t xml:space="preserve"> </w:t>
      </w:r>
      <w:r>
        <w:rPr>
          <w:rFonts w:ascii="Times New Roman" w:hAnsi="Times New Roman" w:cs="Times New Roman" w:hint="eastAsia"/>
          <w:sz w:val="24"/>
          <w:szCs w:val="24"/>
        </w:rPr>
        <w:t>I</w:t>
      </w:r>
      <w:r>
        <w:rPr>
          <w:rFonts w:ascii="Times New Roman" w:hAnsi="Times New Roman" w:cs="Times New Roman"/>
          <w:sz w:val="24"/>
          <w:szCs w:val="24"/>
        </w:rPr>
        <w:t>f it is difficult to</w:t>
      </w:r>
      <w:r>
        <w:rPr>
          <w:rFonts w:ascii="Times New Roman" w:hAnsi="Times New Roman" w:cs="Times New Roman" w:hint="eastAsia"/>
          <w:sz w:val="24"/>
          <w:szCs w:val="24"/>
        </w:rPr>
        <w:t xml:space="preserve"> be</w:t>
      </w:r>
      <w:r>
        <w:rPr>
          <w:rFonts w:ascii="Times New Roman" w:hAnsi="Times New Roman" w:cs="Times New Roman"/>
          <w:sz w:val="24"/>
          <w:szCs w:val="24"/>
        </w:rPr>
        <w:t xml:space="preserve"> allocate</w:t>
      </w:r>
      <w:r>
        <w:rPr>
          <w:rFonts w:ascii="Times New Roman" w:hAnsi="Times New Roman" w:cs="Times New Roman" w:hint="eastAsia"/>
          <w:sz w:val="24"/>
          <w:szCs w:val="24"/>
        </w:rPr>
        <w:t>d</w:t>
      </w:r>
      <w:r>
        <w:rPr>
          <w:rFonts w:ascii="Times New Roman" w:hAnsi="Times New Roman" w:cs="Times New Roman"/>
          <w:sz w:val="24"/>
          <w:szCs w:val="24"/>
        </w:rPr>
        <w:t xml:space="preserve"> to the relevant asset group, it is allocated to the relevant</w:t>
      </w:r>
      <w:r>
        <w:t xml:space="preserve"> </w:t>
      </w:r>
      <w:r>
        <w:rPr>
          <w:rFonts w:ascii="Times New Roman" w:hAnsi="Times New Roman" w:cs="Times New Roman"/>
          <w:sz w:val="24"/>
          <w:szCs w:val="24"/>
        </w:rPr>
        <w:t>combination</w:t>
      </w:r>
      <w:r>
        <w:rPr>
          <w:rFonts w:ascii="Times New Roman" w:hAnsi="Times New Roman" w:cs="Times New Roman" w:hint="eastAsia"/>
          <w:sz w:val="24"/>
          <w:szCs w:val="24"/>
        </w:rPr>
        <w:t xml:space="preserve"> of</w:t>
      </w:r>
      <w:r>
        <w:rPr>
          <w:rFonts w:ascii="Times New Roman" w:hAnsi="Times New Roman" w:cs="Times New Roman"/>
          <w:sz w:val="24"/>
          <w:szCs w:val="24"/>
        </w:rPr>
        <w:t xml:space="preserve"> </w:t>
      </w:r>
      <w:r>
        <w:rPr>
          <w:rFonts w:ascii="Times New Roman" w:hAnsi="Times New Roman" w:cs="Times New Roman"/>
          <w:sz w:val="24"/>
          <w:szCs w:val="24"/>
        </w:rPr>
        <w:lastRenderedPageBreak/>
        <w:t>asset group</w:t>
      </w:r>
      <w:r>
        <w:rPr>
          <w:rFonts w:ascii="Times New Roman" w:hAnsi="Times New Roman" w:cs="Times New Roman" w:hint="eastAsia"/>
          <w:sz w:val="24"/>
          <w:szCs w:val="24"/>
        </w:rPr>
        <w:t>s</w:t>
      </w:r>
      <w:r>
        <w:rPr>
          <w:rFonts w:ascii="Times New Roman" w:hAnsi="Times New Roman" w:cs="Times New Roman"/>
          <w:sz w:val="24"/>
          <w:szCs w:val="24"/>
        </w:rPr>
        <w:t>.</w:t>
      </w:r>
      <w:r>
        <w:rPr>
          <w:rFonts w:ascii="Times New Roman" w:hAnsi="Times New Roman" w:cs="Times New Roman" w:hint="eastAsia"/>
          <w:sz w:val="24"/>
          <w:szCs w:val="24"/>
        </w:rPr>
        <w:t xml:space="preserve"> </w:t>
      </w:r>
      <w:r>
        <w:rPr>
          <w:rFonts w:ascii="Times New Roman" w:hAnsi="Times New Roman" w:cs="Times New Roman"/>
          <w:sz w:val="24"/>
          <w:szCs w:val="24"/>
        </w:rPr>
        <w:t>The related asset group or combination of asset groups is an asset group or combination of asset groups that can benefit from the synergies of the business combination</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When impairment test is performed on the relevant asset group or combination of asset groups that </w:t>
      </w:r>
      <w:r>
        <w:rPr>
          <w:rFonts w:ascii="Times New Roman" w:hAnsi="Times New Roman" w:cs="Times New Roman" w:hint="eastAsia"/>
          <w:sz w:val="24"/>
          <w:szCs w:val="24"/>
        </w:rPr>
        <w:t>include</w:t>
      </w:r>
      <w:r>
        <w:rPr>
          <w:rFonts w:ascii="Times New Roman" w:hAnsi="Times New Roman" w:cs="Times New Roman"/>
          <w:sz w:val="24"/>
          <w:szCs w:val="24"/>
        </w:rPr>
        <w:t xml:space="preserve"> goodwill, if there are indications of impairment of </w:t>
      </w:r>
      <w:r>
        <w:rPr>
          <w:rFonts w:ascii="Times New Roman" w:hAnsi="Times New Roman" w:cs="Times New Roman" w:hint="eastAsia"/>
          <w:sz w:val="24"/>
          <w:szCs w:val="24"/>
        </w:rPr>
        <w:t>those</w:t>
      </w:r>
      <w:r>
        <w:rPr>
          <w:rFonts w:ascii="Times New Roman" w:hAnsi="Times New Roman" w:cs="Times New Roman"/>
          <w:sz w:val="24"/>
          <w:szCs w:val="24"/>
        </w:rPr>
        <w:t>, conducting</w:t>
      </w:r>
      <w:r>
        <w:rPr>
          <w:rFonts w:ascii="Times New Roman" w:hAnsi="Times New Roman" w:cs="Times New Roman" w:hint="eastAsia"/>
          <w:sz w:val="24"/>
          <w:szCs w:val="24"/>
        </w:rPr>
        <w:t xml:space="preserve"> the impairment test on </w:t>
      </w:r>
      <w:r>
        <w:rPr>
          <w:rFonts w:ascii="Times New Roman" w:hAnsi="Times New Roman" w:cs="Times New Roman"/>
          <w:sz w:val="24"/>
          <w:szCs w:val="24"/>
        </w:rPr>
        <w:t>the asset group or combination of asset groups that does not include goodwill</w:t>
      </w:r>
      <w:r>
        <w:rPr>
          <w:rFonts w:ascii="Times New Roman" w:hAnsi="Times New Roman" w:cs="Times New Roman" w:hint="eastAsia"/>
          <w:sz w:val="24"/>
          <w:szCs w:val="24"/>
        </w:rPr>
        <w:t xml:space="preserve"> and </w:t>
      </w:r>
      <w:r>
        <w:rPr>
          <w:rFonts w:ascii="Times New Roman" w:hAnsi="Times New Roman" w:cs="Times New Roman"/>
          <w:sz w:val="24"/>
          <w:szCs w:val="24"/>
        </w:rPr>
        <w:t>calculat</w:t>
      </w:r>
      <w:r>
        <w:rPr>
          <w:rFonts w:ascii="Times New Roman" w:hAnsi="Times New Roman" w:cs="Times New Roman" w:hint="eastAsia"/>
          <w:sz w:val="24"/>
          <w:szCs w:val="24"/>
        </w:rPr>
        <w:t>ing</w:t>
      </w:r>
      <w:r>
        <w:rPr>
          <w:rFonts w:ascii="Times New Roman" w:hAnsi="Times New Roman" w:cs="Times New Roman"/>
          <w:sz w:val="24"/>
          <w:szCs w:val="24"/>
        </w:rPr>
        <w:t xml:space="preserve"> the recoverable amount, confirm the corresponding impairment loss.</w:t>
      </w:r>
      <w:r>
        <w:rPr>
          <w:rFonts w:ascii="Times New Roman" w:hAnsi="Times New Roman" w:cs="Times New Roman" w:hint="eastAsia"/>
          <w:sz w:val="24"/>
          <w:szCs w:val="24"/>
        </w:rPr>
        <w:t xml:space="preserve"> And t</w:t>
      </w:r>
      <w:r>
        <w:rPr>
          <w:rFonts w:ascii="Times New Roman" w:hAnsi="Times New Roman" w:cs="Times New Roman"/>
          <w:sz w:val="24"/>
          <w:szCs w:val="24"/>
        </w:rPr>
        <w:t>hen</w:t>
      </w:r>
      <w:r>
        <w:rPr>
          <w:rFonts w:ascii="Times New Roman" w:hAnsi="Times New Roman" w:cs="Times New Roman" w:hint="eastAsia"/>
          <w:sz w:val="24"/>
          <w:szCs w:val="24"/>
        </w:rPr>
        <w:t>,</w:t>
      </w:r>
      <w:r>
        <w:rPr>
          <w:rFonts w:ascii="Times New Roman" w:hAnsi="Times New Roman" w:cs="Times New Roman"/>
          <w:sz w:val="24"/>
          <w:szCs w:val="24"/>
        </w:rPr>
        <w:t xml:space="preserve"> conduct</w:t>
      </w:r>
      <w:r>
        <w:rPr>
          <w:rFonts w:ascii="Times New Roman" w:hAnsi="Times New Roman" w:cs="Times New Roman" w:hint="eastAsia"/>
          <w:sz w:val="24"/>
          <w:szCs w:val="24"/>
        </w:rPr>
        <w:t>ing</w:t>
      </w:r>
      <w:r>
        <w:rPr>
          <w:rFonts w:ascii="Times New Roman" w:hAnsi="Times New Roman" w:cs="Times New Roman"/>
          <w:sz w:val="24"/>
          <w:szCs w:val="24"/>
        </w:rPr>
        <w:t xml:space="preserve"> an impairment test on the asset group or group of asset groups that contains the goodwill</w:t>
      </w:r>
      <w:r>
        <w:rPr>
          <w:rFonts w:ascii="Times New Roman" w:hAnsi="Times New Roman" w:cs="Times New Roman" w:hint="eastAsia"/>
          <w:sz w:val="24"/>
          <w:szCs w:val="24"/>
        </w:rPr>
        <w:t xml:space="preserve"> and </w:t>
      </w:r>
      <w:r>
        <w:rPr>
          <w:rFonts w:ascii="Times New Roman" w:hAnsi="Times New Roman" w:cs="Times New Roman"/>
          <w:sz w:val="24"/>
          <w:szCs w:val="24"/>
        </w:rPr>
        <w:t>compar</w:t>
      </w:r>
      <w:r>
        <w:rPr>
          <w:rFonts w:ascii="Times New Roman" w:hAnsi="Times New Roman" w:cs="Times New Roman" w:hint="eastAsia"/>
          <w:sz w:val="24"/>
          <w:szCs w:val="24"/>
        </w:rPr>
        <w:t>ing</w:t>
      </w:r>
      <w:r>
        <w:rPr>
          <w:rFonts w:ascii="Times New Roman" w:hAnsi="Times New Roman" w:cs="Times New Roman"/>
          <w:sz w:val="24"/>
          <w:szCs w:val="24"/>
        </w:rPr>
        <w:t xml:space="preserve"> the book value with the recoverable amount. If the recoverable amount is lower than the book value, the amount of the impairment loss is first deducted to</w:t>
      </w:r>
      <w:r>
        <w:rPr>
          <w:rFonts w:ascii="Times New Roman" w:hAnsi="Times New Roman" w:cs="Times New Roman" w:hint="eastAsia"/>
          <w:sz w:val="24"/>
          <w:szCs w:val="24"/>
        </w:rPr>
        <w:t xml:space="preserve"> book value of goodwill</w:t>
      </w:r>
      <w:r>
        <w:rPr>
          <w:rFonts w:ascii="Times New Roman" w:hAnsi="Times New Roman" w:cs="Times New Roman"/>
          <w:sz w:val="24"/>
          <w:szCs w:val="24"/>
        </w:rPr>
        <w:t>. Finally</w:t>
      </w:r>
      <w:r>
        <w:rPr>
          <w:rFonts w:ascii="Times New Roman" w:hAnsi="Times New Roman" w:cs="Times New Roman" w:hint="eastAsia"/>
          <w:sz w:val="24"/>
          <w:szCs w:val="24"/>
        </w:rPr>
        <w:t>, a</w:t>
      </w:r>
      <w:r>
        <w:rPr>
          <w:rFonts w:ascii="Times New Roman" w:hAnsi="Times New Roman" w:cs="Times New Roman"/>
          <w:sz w:val="24"/>
          <w:szCs w:val="24"/>
        </w:rPr>
        <w:t>ccording to the proportion of the carrying value of other assets except goodwill in the asset group or group of asset groups, the book value of other assets is offset proportionately.</w:t>
      </w:r>
    </w:p>
    <w:p w:rsidR="000B609E" w:rsidRDefault="00B220E1">
      <w:pPr>
        <w:pStyle w:val="11"/>
        <w:spacing w:after="156" w:line="360" w:lineRule="auto"/>
        <w:ind w:firstLine="480"/>
        <w:rPr>
          <w:rFonts w:ascii="Times New Roman" w:hAnsi="Times New Roman" w:cs="Times New Roman"/>
          <w:bCs/>
          <w:sz w:val="24"/>
          <w:szCs w:val="24"/>
        </w:rPr>
      </w:pPr>
      <w:r>
        <w:rPr>
          <w:rFonts w:ascii="Times New Roman" w:hAnsi="Times New Roman" w:cs="Times New Roman"/>
          <w:sz w:val="24"/>
          <w:szCs w:val="24"/>
        </w:rPr>
        <w:t xml:space="preserve">Once the above asset impairment loss is recognized, it will not be reversed for </w:t>
      </w:r>
      <w:r>
        <w:rPr>
          <w:rFonts w:ascii="Times New Roman" w:hAnsi="Times New Roman" w:cs="Times New Roman" w:hint="eastAsia"/>
          <w:bCs/>
          <w:sz w:val="24"/>
          <w:szCs w:val="24"/>
        </w:rPr>
        <w:t>the value recovered in the subsequent periods.</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 xml:space="preserve">19. </w:t>
      </w:r>
      <w:r>
        <w:rPr>
          <w:rFonts w:ascii="Times New Roman" w:hAnsi="Times New Roman" w:cs="Times New Roman"/>
          <w:sz w:val="24"/>
          <w:szCs w:val="24"/>
        </w:rPr>
        <w:t>Repossessed assets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Repossessed assets are physical assets or property rights obtained by the Group from debtors, warrantors or third parties following the enforcement of its creditor’s rights. The repossessed assets are initially recognized at fair value, and are subsequently measured at the lower of the carrying value and net recoverable amount. If the recoverable amount is lower than the carrying value of the repossessed assets, the assets are written down to the recoverable amount.</w:t>
      </w:r>
    </w:p>
    <w:p w:rsidR="000B609E" w:rsidRDefault="00B220E1">
      <w:pPr>
        <w:pStyle w:val="11"/>
        <w:spacing w:after="156"/>
        <w:ind w:firstLine="482"/>
        <w:rPr>
          <w:rFonts w:ascii="Times New Roman" w:hAnsi="Times New Roman" w:cs="Times New Roman"/>
          <w:b/>
          <w:sz w:val="24"/>
          <w:szCs w:val="24"/>
        </w:rPr>
      </w:pPr>
      <w:r>
        <w:rPr>
          <w:rFonts w:ascii="Times New Roman" w:hAnsi="Times New Roman" w:cs="Times New Roman"/>
          <w:b/>
          <w:sz w:val="24"/>
          <w:szCs w:val="24"/>
        </w:rPr>
        <w:t>20. Assets held for sale</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non-current assets (including long-term assets such as fixed assets, intangible assets and long-term equity investments, etc.) or disposal groups that meet both of the following conditions</w:t>
      </w:r>
      <w:r>
        <w:rPr>
          <w:rFonts w:ascii="Times New Roman" w:hAnsi="Times New Roman" w:cs="Times New Roman" w:hint="eastAsia"/>
          <w:sz w:val="24"/>
          <w:szCs w:val="24"/>
        </w:rPr>
        <w:t xml:space="preserve"> are classified</w:t>
      </w:r>
      <w:r>
        <w:rPr>
          <w:rFonts w:ascii="Times New Roman" w:hAnsi="Times New Roman" w:cs="Times New Roman"/>
          <w:sz w:val="24"/>
          <w:szCs w:val="24"/>
        </w:rPr>
        <w:t xml:space="preserve"> as held for sale:</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(1) According to the practice of selling such assets or disposal groups in similar transactions, they can be </w:t>
      </w:r>
      <w:r>
        <w:rPr>
          <w:rFonts w:ascii="Times New Roman" w:hAnsi="Times New Roman" w:cs="Times New Roman"/>
          <w:sz w:val="24"/>
          <w:szCs w:val="24"/>
        </w:rPr>
        <w:lastRenderedPageBreak/>
        <w:t>sold immediately under current conditions;</w:t>
      </w:r>
      <w:r>
        <w:rPr>
          <w:rFonts w:ascii="Times New Roman" w:hAnsi="Times New Roman" w:cs="Times New Roman" w:hint="eastAsia"/>
          <w:sz w:val="24"/>
          <w:szCs w:val="24"/>
        </w:rPr>
        <w:t xml:space="preserve"> </w:t>
      </w:r>
      <w:r>
        <w:rPr>
          <w:rFonts w:ascii="Times New Roman" w:hAnsi="Times New Roman" w:cs="Times New Roman"/>
          <w:sz w:val="24"/>
          <w:szCs w:val="24"/>
        </w:rPr>
        <w:t>(2) The sale is likely to occur, that is, a resolution has been made on a sales plan and a certain commitment has been obtained, and it is expected that the sale will be completed within one year.</w:t>
      </w:r>
      <w:r>
        <w:rPr>
          <w:rFonts w:ascii="Times New Roman" w:hAnsi="Times New Roman" w:cs="Times New Roman" w:hint="eastAsia"/>
          <w:sz w:val="24"/>
          <w:szCs w:val="24"/>
        </w:rPr>
        <w:t xml:space="preserve"> As the </w:t>
      </w:r>
      <w:r>
        <w:rPr>
          <w:rFonts w:ascii="Times New Roman" w:hAnsi="Times New Roman" w:cs="Times New Roman"/>
          <w:sz w:val="24"/>
          <w:szCs w:val="24"/>
        </w:rPr>
        <w:t>requirements</w:t>
      </w:r>
      <w:r>
        <w:rPr>
          <w:rFonts w:ascii="Times New Roman" w:hAnsi="Times New Roman" w:cs="Times New Roman" w:hint="eastAsia"/>
          <w:sz w:val="24"/>
          <w:szCs w:val="24"/>
        </w:rPr>
        <w:t xml:space="preserve"> of t</w:t>
      </w:r>
      <w:r>
        <w:rPr>
          <w:rFonts w:ascii="Times New Roman" w:hAnsi="Times New Roman" w:cs="Times New Roman"/>
          <w:sz w:val="24"/>
          <w:szCs w:val="24"/>
        </w:rPr>
        <w:t>he relevant regulations</w:t>
      </w:r>
      <w:r>
        <w:rPr>
          <w:rFonts w:ascii="Times New Roman" w:hAnsi="Times New Roman" w:cs="Times New Roman" w:hint="eastAsia"/>
          <w:sz w:val="24"/>
          <w:szCs w:val="24"/>
        </w:rPr>
        <w:t>, after the</w:t>
      </w:r>
      <w:r>
        <w:rPr>
          <w:rFonts w:ascii="Times New Roman" w:hAnsi="Times New Roman" w:cs="Times New Roman"/>
          <w:sz w:val="24"/>
          <w:szCs w:val="24"/>
        </w:rPr>
        <w:t xml:space="preserve"> approval from the relevant authority or regulatory authority</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the Group can classify the non-current assets or disposal group for the first time into </w:t>
      </w:r>
      <w:r>
        <w:rPr>
          <w:rFonts w:ascii="Times New Roman" w:hAnsi="Times New Roman" w:cs="Times New Roman" w:hint="eastAsia"/>
          <w:sz w:val="24"/>
          <w:szCs w:val="24"/>
        </w:rPr>
        <w:t>held</w:t>
      </w:r>
      <w:r>
        <w:rPr>
          <w:rFonts w:ascii="Times New Roman" w:hAnsi="Times New Roman" w:cs="Times New Roman"/>
          <w:sz w:val="24"/>
          <w:szCs w:val="24"/>
        </w:rPr>
        <w:t xml:space="preserve"> for sale</w:t>
      </w:r>
      <w:r>
        <w:rPr>
          <w:rFonts w:ascii="Times New Roman" w:hAnsi="Times New Roman" w:cs="Times New Roman" w:hint="eastAsia"/>
          <w:sz w:val="24"/>
          <w:szCs w:val="24"/>
        </w:rPr>
        <w:t xml:space="preserve"> assets.</w:t>
      </w:r>
      <w:r>
        <w:rPr>
          <w:rFonts w:ascii="Times New Roman" w:hAnsi="Times New Roman" w:cs="Times New Roman"/>
          <w:sz w:val="24"/>
          <w:szCs w:val="24"/>
        </w:rPr>
        <w:t xml:space="preserve"> </w:t>
      </w:r>
      <w:r>
        <w:rPr>
          <w:rFonts w:ascii="Times New Roman" w:hAnsi="Times New Roman" w:cs="Times New Roman" w:hint="eastAsia"/>
          <w:sz w:val="24"/>
          <w:szCs w:val="24"/>
        </w:rPr>
        <w:t>Before that, the Group should</w:t>
      </w:r>
      <w:r>
        <w:rPr>
          <w:rFonts w:ascii="Times New Roman" w:hAnsi="Times New Roman" w:cs="Times New Roman"/>
          <w:sz w:val="24"/>
          <w:szCs w:val="24"/>
        </w:rPr>
        <w:t xml:space="preserve"> measure</w:t>
      </w:r>
      <w:r>
        <w:rPr>
          <w:rFonts w:ascii="Times New Roman" w:hAnsi="Times New Roman" w:cs="Times New Roman" w:hint="eastAsia"/>
          <w:sz w:val="24"/>
          <w:szCs w:val="24"/>
        </w:rPr>
        <w:t xml:space="preserve"> the book value of the</w:t>
      </w:r>
      <w:r>
        <w:rPr>
          <w:rFonts w:ascii="Times New Roman" w:hAnsi="Times New Roman" w:cs="Times New Roman"/>
          <w:sz w:val="24"/>
          <w:szCs w:val="24"/>
        </w:rPr>
        <w:t xml:space="preserve"> non-current assets or various assets and disposal group in accordance with the relevant accounting standards. When the initial measurement or remeasurement of non-current assets or disposal groups </w:t>
      </w:r>
      <w:r>
        <w:rPr>
          <w:rFonts w:ascii="Times New Roman" w:hAnsi="Times New Roman" w:cs="Times New Roman" w:hint="eastAsia"/>
          <w:sz w:val="24"/>
          <w:szCs w:val="24"/>
        </w:rPr>
        <w:t xml:space="preserve">that </w:t>
      </w:r>
      <w:r>
        <w:rPr>
          <w:rFonts w:ascii="Times New Roman" w:hAnsi="Times New Roman" w:cs="Times New Roman"/>
          <w:sz w:val="24"/>
          <w:szCs w:val="24"/>
        </w:rPr>
        <w:t>held for sale at the balance sheet date, if the book value of the non-current assets or disposal group is higher than the fair value less the sale expenses, the book value shall be reduced to</w:t>
      </w:r>
      <w:r>
        <w:rPr>
          <w:rFonts w:ascii="Times New Roman" w:hAnsi="Times New Roman" w:cs="Times New Roman" w:hint="eastAsia"/>
          <w:sz w:val="24"/>
          <w:szCs w:val="24"/>
        </w:rPr>
        <w:t xml:space="preserve"> the net amount that</w:t>
      </w:r>
      <w:r>
        <w:rPr>
          <w:rFonts w:ascii="Times New Roman" w:hAnsi="Times New Roman" w:cs="Times New Roman"/>
          <w:sz w:val="24"/>
          <w:szCs w:val="24"/>
        </w:rPr>
        <w:t xml:space="preserve"> the fair value less</w:t>
      </w:r>
      <w:r>
        <w:rPr>
          <w:rFonts w:ascii="Times New Roman" w:hAnsi="Times New Roman" w:cs="Times New Roman" w:hint="eastAsia"/>
          <w:sz w:val="24"/>
          <w:szCs w:val="24"/>
        </w:rPr>
        <w:t xml:space="preserve"> </w:t>
      </w:r>
      <w:r>
        <w:rPr>
          <w:rFonts w:ascii="Times New Roman" w:hAnsi="Times New Roman" w:cs="Times New Roman"/>
          <w:sz w:val="24"/>
          <w:szCs w:val="24"/>
        </w:rPr>
        <w:t>the</w:t>
      </w:r>
      <w:r>
        <w:rPr>
          <w:rFonts w:ascii="Times New Roman" w:hAnsi="Times New Roman" w:cs="Times New Roman" w:hint="eastAsia"/>
          <w:sz w:val="24"/>
          <w:szCs w:val="24"/>
        </w:rPr>
        <w:t xml:space="preserve"> expenses.</w:t>
      </w:r>
      <w:r>
        <w:rPr>
          <w:rFonts w:ascii="Times New Roman" w:hAnsi="Times New Roman" w:cs="Times New Roman"/>
          <w:sz w:val="24"/>
          <w:szCs w:val="24"/>
        </w:rPr>
        <w:t xml:space="preserve"> </w:t>
      </w:r>
      <w:r>
        <w:rPr>
          <w:rFonts w:ascii="Times New Roman" w:hAnsi="Times New Roman" w:cs="Times New Roman" w:hint="eastAsia"/>
          <w:sz w:val="24"/>
          <w:szCs w:val="24"/>
        </w:rPr>
        <w:t>T</w:t>
      </w:r>
      <w:r>
        <w:rPr>
          <w:rFonts w:ascii="Times New Roman" w:hAnsi="Times New Roman" w:cs="Times New Roman"/>
          <w:sz w:val="24"/>
          <w:szCs w:val="24"/>
        </w:rPr>
        <w:t xml:space="preserve">he amount of write-down is recognized as impairment loss of assets and </w:t>
      </w:r>
      <w:r>
        <w:rPr>
          <w:rFonts w:ascii="Times New Roman" w:hAnsi="Times New Roman" w:cs="Times New Roman" w:hint="eastAsia"/>
          <w:sz w:val="24"/>
          <w:szCs w:val="24"/>
        </w:rPr>
        <w:t>recorded</w:t>
      </w:r>
      <w:r>
        <w:rPr>
          <w:rFonts w:ascii="Times New Roman" w:hAnsi="Times New Roman" w:cs="Times New Roman"/>
          <w:sz w:val="24"/>
          <w:szCs w:val="24"/>
        </w:rPr>
        <w:t xml:space="preserve"> in the current profit and loss</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as well as</w:t>
      </w:r>
      <w:r>
        <w:rPr>
          <w:rFonts w:ascii="Times New Roman" w:hAnsi="Times New Roman" w:cs="Times New Roman"/>
          <w:sz w:val="24"/>
          <w:szCs w:val="24"/>
        </w:rPr>
        <w:t xml:space="preserve"> provision for impairment of held-for-sale assets.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For the </w:t>
      </w:r>
      <w:r>
        <w:rPr>
          <w:rFonts w:ascii="Times New Roman" w:hAnsi="Times New Roman" w:cs="Times New Roman"/>
          <w:sz w:val="24"/>
          <w:szCs w:val="24"/>
        </w:rPr>
        <w:t>non-current assets</w:t>
      </w:r>
      <w:r>
        <w:rPr>
          <w:rFonts w:ascii="Times New Roman" w:hAnsi="Times New Roman" w:cs="Times New Roman" w:hint="eastAsia"/>
          <w:sz w:val="24"/>
          <w:szCs w:val="24"/>
        </w:rPr>
        <w:t xml:space="preserve"> and disposal group that Group get for resale</w:t>
      </w:r>
      <w:r>
        <w:rPr>
          <w:rFonts w:ascii="Times New Roman" w:hAnsi="Times New Roman" w:cs="Times New Roman"/>
          <w:sz w:val="24"/>
          <w:szCs w:val="24"/>
        </w:rPr>
        <w:t xml:space="preserve">, </w:t>
      </w:r>
      <w:r>
        <w:rPr>
          <w:rFonts w:ascii="Times New Roman" w:hAnsi="Times New Roman" w:cs="Times New Roman" w:hint="eastAsia"/>
          <w:sz w:val="24"/>
          <w:szCs w:val="24"/>
        </w:rPr>
        <w:t>if they</w:t>
      </w:r>
      <w:r>
        <w:rPr>
          <w:rFonts w:ascii="Times New Roman" w:hAnsi="Times New Roman" w:cs="Times New Roman"/>
          <w:sz w:val="24"/>
          <w:szCs w:val="24"/>
        </w:rPr>
        <w:t xml:space="preserve"> meet</w:t>
      </w:r>
      <w:r>
        <w:rPr>
          <w:rFonts w:ascii="Times New Roman" w:hAnsi="Times New Roman" w:cs="Times New Roman" w:hint="eastAsia"/>
          <w:sz w:val="24"/>
          <w:szCs w:val="24"/>
        </w:rPr>
        <w:t xml:space="preserve"> the rule</w:t>
      </w:r>
      <w:r>
        <w:rPr>
          <w:rFonts w:ascii="Times New Roman" w:hAnsi="Times New Roman" w:cs="Times New Roman"/>
          <w:sz w:val="24"/>
          <w:szCs w:val="24"/>
        </w:rPr>
        <w:t xml:space="preserve"> "is expected to sell will be completed in one year," the and in the short-term (usually 3 months) </w:t>
      </w:r>
      <w:r>
        <w:rPr>
          <w:rFonts w:ascii="Times New Roman" w:hAnsi="Times New Roman" w:cs="Times New Roman" w:hint="eastAsia"/>
          <w:sz w:val="24"/>
          <w:szCs w:val="24"/>
        </w:rPr>
        <w:t>are</w:t>
      </w:r>
      <w:r>
        <w:rPr>
          <w:rFonts w:ascii="Times New Roman" w:hAnsi="Times New Roman" w:cs="Times New Roman"/>
          <w:sz w:val="24"/>
          <w:szCs w:val="24"/>
        </w:rPr>
        <w:t xml:space="preserve"> likely to meet other requirements</w:t>
      </w:r>
      <w:r>
        <w:rPr>
          <w:rFonts w:ascii="Times New Roman" w:hAnsi="Times New Roman" w:cs="Times New Roman" w:hint="eastAsia"/>
          <w:sz w:val="24"/>
          <w:szCs w:val="24"/>
        </w:rPr>
        <w:t xml:space="preserve"> of held-for-sale asset</w:t>
      </w:r>
      <w:r>
        <w:rPr>
          <w:rFonts w:ascii="Times New Roman" w:hAnsi="Times New Roman" w:cs="Times New Roman"/>
          <w:sz w:val="24"/>
          <w:szCs w:val="24"/>
        </w:rPr>
        <w:t>,</w:t>
      </w:r>
      <w:r>
        <w:rPr>
          <w:rFonts w:ascii="Times New Roman" w:hAnsi="Times New Roman" w:cs="Times New Roman" w:hint="eastAsia"/>
          <w:sz w:val="24"/>
          <w:szCs w:val="24"/>
        </w:rPr>
        <w:t xml:space="preserve"> they shall be</w:t>
      </w:r>
      <w:r>
        <w:rPr>
          <w:rFonts w:ascii="Times New Roman" w:hAnsi="Times New Roman" w:cs="Times New Roman"/>
          <w:sz w:val="24"/>
          <w:szCs w:val="24"/>
        </w:rPr>
        <w:t xml:space="preserve"> divided into holds for sale </w:t>
      </w:r>
      <w:r>
        <w:rPr>
          <w:rFonts w:ascii="Times New Roman" w:hAnsi="Times New Roman" w:cs="Times New Roman" w:hint="eastAsia"/>
          <w:sz w:val="24"/>
          <w:szCs w:val="24"/>
        </w:rPr>
        <w:t>on</w:t>
      </w:r>
      <w:r>
        <w:rPr>
          <w:rFonts w:ascii="Times New Roman" w:hAnsi="Times New Roman" w:cs="Times New Roman"/>
          <w:sz w:val="24"/>
          <w:szCs w:val="24"/>
        </w:rPr>
        <w:t xml:space="preserve"> the</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acquisition day. In the initial measurement, </w:t>
      </w:r>
      <w:r>
        <w:rPr>
          <w:rFonts w:ascii="Times New Roman" w:hAnsi="Times New Roman" w:cs="Times New Roman" w:hint="eastAsia"/>
          <w:sz w:val="24"/>
          <w:szCs w:val="24"/>
        </w:rPr>
        <w:t>comparing</w:t>
      </w:r>
      <w:r>
        <w:rPr>
          <w:rFonts w:ascii="Times New Roman" w:hAnsi="Times New Roman" w:cs="Times New Roman"/>
          <w:sz w:val="24"/>
          <w:szCs w:val="24"/>
        </w:rPr>
        <w:t xml:space="preserve"> initial measurement amount</w:t>
      </w:r>
      <w:r>
        <w:rPr>
          <w:rFonts w:ascii="Times New Roman" w:hAnsi="Times New Roman" w:cs="Times New Roman" w:hint="eastAsia"/>
          <w:sz w:val="24"/>
          <w:szCs w:val="24"/>
        </w:rPr>
        <w:t xml:space="preserve"> </w:t>
      </w:r>
      <w:r>
        <w:rPr>
          <w:rFonts w:ascii="Times New Roman" w:hAnsi="Times New Roman" w:cs="Times New Roman"/>
          <w:sz w:val="24"/>
          <w:szCs w:val="24"/>
        </w:rPr>
        <w:t>and the</w:t>
      </w:r>
      <w:r>
        <w:rPr>
          <w:rFonts w:ascii="Times New Roman" w:hAnsi="Times New Roman" w:cs="Times New Roman" w:hint="eastAsia"/>
          <w:sz w:val="24"/>
          <w:szCs w:val="24"/>
        </w:rPr>
        <w:t xml:space="preserve"> net amount that</w:t>
      </w:r>
      <w:r>
        <w:rPr>
          <w:rFonts w:ascii="Times New Roman" w:hAnsi="Times New Roman" w:cs="Times New Roman"/>
          <w:sz w:val="24"/>
          <w:szCs w:val="24"/>
        </w:rPr>
        <w:t xml:space="preserve"> fair value </w:t>
      </w:r>
      <w:r>
        <w:rPr>
          <w:rFonts w:ascii="Times New Roman" w:hAnsi="Times New Roman" w:cs="Times New Roman" w:hint="eastAsia"/>
          <w:sz w:val="24"/>
          <w:szCs w:val="24"/>
        </w:rPr>
        <w:t>less</w:t>
      </w:r>
      <w:r>
        <w:rPr>
          <w:rFonts w:ascii="Times New Roman" w:hAnsi="Times New Roman" w:cs="Times New Roman"/>
          <w:sz w:val="24"/>
          <w:szCs w:val="24"/>
        </w:rPr>
        <w:t xml:space="preserve"> sale expense</w:t>
      </w:r>
      <w:r>
        <w:rPr>
          <w:rFonts w:ascii="Times New Roman" w:hAnsi="Times New Roman" w:cs="Times New Roman" w:hint="eastAsia"/>
          <w:sz w:val="24"/>
          <w:szCs w:val="24"/>
        </w:rPr>
        <w:t>, and then measured at the lower amount of them.</w:t>
      </w:r>
      <w:r>
        <w:rPr>
          <w:rFonts w:ascii="Times New Roman" w:hAnsi="Times New Roman" w:cs="Times New Roman"/>
          <w:sz w:val="24"/>
          <w:szCs w:val="24"/>
        </w:rPr>
        <w:t xml:space="preserve"> In addition to non-current assets or</w:t>
      </w:r>
      <w:r>
        <w:rPr>
          <w:rFonts w:ascii="Times New Roman" w:hAnsi="Times New Roman" w:cs="Times New Roman" w:hint="eastAsia"/>
          <w:sz w:val="24"/>
          <w:szCs w:val="24"/>
        </w:rPr>
        <w:t xml:space="preserve"> disposal groups that obtained in business combination, the difference that caused by the initial amount </w:t>
      </w:r>
      <w:r>
        <w:rPr>
          <w:rFonts w:ascii="Times New Roman" w:hAnsi="Times New Roman" w:cs="Times New Roman"/>
          <w:sz w:val="24"/>
          <w:szCs w:val="24"/>
        </w:rPr>
        <w:t>becoming</w:t>
      </w:r>
      <w:r>
        <w:rPr>
          <w:rFonts w:ascii="Times New Roman" w:hAnsi="Times New Roman" w:cs="Times New Roman" w:hint="eastAsia"/>
          <w:sz w:val="24"/>
          <w:szCs w:val="24"/>
        </w:rPr>
        <w:t xml:space="preserve"> the net amount that fair value of non-current assets and disposal groups less sale expenses should be recorded in the current profit and loss.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Group loses control of a subsidiary due to sales of investments in its subsidiaries, whether or not the Group retains part of the equity investment after the sale, the investment in the subsidiary will be divided into the category of held for sale</w:t>
      </w:r>
      <w:r>
        <w:t xml:space="preserve"> </w:t>
      </w:r>
      <w:r>
        <w:rPr>
          <w:rFonts w:ascii="Times New Roman" w:hAnsi="Times New Roman" w:cs="Times New Roman" w:hint="eastAsia"/>
          <w:sz w:val="24"/>
          <w:szCs w:val="24"/>
        </w:rPr>
        <w:t>i</w:t>
      </w:r>
      <w:r>
        <w:rPr>
          <w:rFonts w:ascii="Times New Roman" w:hAnsi="Times New Roman" w:cs="Times New Roman"/>
          <w:sz w:val="24"/>
          <w:szCs w:val="24"/>
        </w:rPr>
        <w:t>n the individual financial statements of the parent company</w:t>
      </w:r>
      <w:r>
        <w:rPr>
          <w:rFonts w:ascii="Times New Roman" w:hAnsi="Times New Roman" w:cs="Times New Roman" w:hint="eastAsia"/>
          <w:sz w:val="24"/>
          <w:szCs w:val="24"/>
        </w:rPr>
        <w:t>，</w:t>
      </w:r>
      <w:r>
        <w:rPr>
          <w:rFonts w:ascii="Times New Roman" w:hAnsi="Times New Roman" w:cs="Times New Roman"/>
          <w:sz w:val="24"/>
          <w:szCs w:val="24"/>
        </w:rPr>
        <w:t xml:space="preserve">when the proposed </w:t>
      </w:r>
      <w:r>
        <w:rPr>
          <w:rFonts w:ascii="Times New Roman" w:hAnsi="Times New Roman" w:cs="Times New Roman"/>
          <w:sz w:val="24"/>
          <w:szCs w:val="24"/>
        </w:rPr>
        <w:lastRenderedPageBreak/>
        <w:t xml:space="preserve">investment in the subsidiary meets the conditions for classifying the </w:t>
      </w:r>
      <w:r>
        <w:rPr>
          <w:rFonts w:ascii="Times New Roman" w:hAnsi="Times New Roman" w:cs="Times New Roman" w:hint="eastAsia"/>
          <w:sz w:val="24"/>
          <w:szCs w:val="24"/>
        </w:rPr>
        <w:t>held-</w:t>
      </w:r>
      <w:r>
        <w:rPr>
          <w:rFonts w:ascii="Times New Roman" w:hAnsi="Times New Roman" w:cs="Times New Roman"/>
          <w:sz w:val="24"/>
          <w:szCs w:val="24"/>
        </w:rPr>
        <w:t>for</w:t>
      </w:r>
      <w:r>
        <w:rPr>
          <w:rFonts w:ascii="Times New Roman" w:hAnsi="Times New Roman" w:cs="Times New Roman" w:hint="eastAsia"/>
          <w:sz w:val="24"/>
          <w:szCs w:val="24"/>
        </w:rPr>
        <w:t>-</w:t>
      </w:r>
      <w:r>
        <w:rPr>
          <w:rFonts w:ascii="Times New Roman" w:hAnsi="Times New Roman" w:cs="Times New Roman"/>
          <w:sz w:val="24"/>
          <w:szCs w:val="24"/>
        </w:rPr>
        <w:t>sale</w:t>
      </w:r>
      <w:r>
        <w:rPr>
          <w:rFonts w:ascii="Times New Roman" w:hAnsi="Times New Roman" w:cs="Times New Roman" w:hint="eastAsia"/>
          <w:sz w:val="24"/>
          <w:szCs w:val="24"/>
        </w:rPr>
        <w:t xml:space="preserve"> asset</w:t>
      </w:r>
      <w:r>
        <w:rPr>
          <w:rFonts w:ascii="Times New Roman" w:hAnsi="Times New Roman" w:cs="Times New Roman"/>
          <w:sz w:val="24"/>
          <w:szCs w:val="24"/>
        </w:rPr>
        <w:t>. In the consolidated financial statement, all the assets and liabilities of the subsidiary will be classified as held</w:t>
      </w:r>
      <w:r>
        <w:rPr>
          <w:rFonts w:ascii="Times New Roman" w:hAnsi="Times New Roman" w:cs="Times New Roman" w:hint="eastAsia"/>
          <w:sz w:val="24"/>
          <w:szCs w:val="24"/>
        </w:rPr>
        <w:t>-</w:t>
      </w:r>
      <w:r>
        <w:rPr>
          <w:rFonts w:ascii="Times New Roman" w:hAnsi="Times New Roman" w:cs="Times New Roman"/>
          <w:sz w:val="24"/>
          <w:szCs w:val="24"/>
        </w:rPr>
        <w:t>for</w:t>
      </w:r>
      <w:r>
        <w:rPr>
          <w:rFonts w:ascii="Times New Roman" w:hAnsi="Times New Roman" w:cs="Times New Roman" w:hint="eastAsia"/>
          <w:sz w:val="24"/>
          <w:szCs w:val="24"/>
        </w:rPr>
        <w:t>-</w:t>
      </w:r>
      <w:r>
        <w:rPr>
          <w:rFonts w:ascii="Times New Roman" w:hAnsi="Times New Roman" w:cs="Times New Roman"/>
          <w:sz w:val="24"/>
          <w:szCs w:val="24"/>
        </w:rPr>
        <w:t>sale.</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If the fair value of the non-current assets held for sale on the subsequent balance sheet date </w:t>
      </w:r>
      <w:r>
        <w:rPr>
          <w:rFonts w:ascii="Times New Roman" w:hAnsi="Times New Roman" w:cs="Times New Roman" w:hint="eastAsia"/>
          <w:sz w:val="24"/>
          <w:szCs w:val="24"/>
        </w:rPr>
        <w:t>is increase</w:t>
      </w:r>
      <w:r>
        <w:rPr>
          <w:rFonts w:ascii="Times New Roman" w:hAnsi="Times New Roman" w:cs="Times New Roman"/>
          <w:sz w:val="24"/>
          <w:szCs w:val="24"/>
        </w:rPr>
        <w:t>, the amount of the previous write-down</w:t>
      </w:r>
      <w:r>
        <w:rPr>
          <w:rFonts w:ascii="Times New Roman" w:hAnsi="Times New Roman" w:cs="Times New Roman" w:hint="eastAsia"/>
          <w:sz w:val="24"/>
          <w:szCs w:val="24"/>
        </w:rPr>
        <w:t xml:space="preserve"> </w:t>
      </w:r>
      <w:r>
        <w:rPr>
          <w:rFonts w:ascii="Times New Roman" w:hAnsi="Times New Roman" w:cs="Times New Roman"/>
          <w:sz w:val="24"/>
          <w:szCs w:val="24"/>
        </w:rPr>
        <w:t>shall be reversed and</w:t>
      </w:r>
      <w:r>
        <w:rPr>
          <w:rFonts w:ascii="Times New Roman" w:hAnsi="Times New Roman" w:cs="Times New Roman" w:hint="eastAsia"/>
          <w:sz w:val="24"/>
          <w:szCs w:val="24"/>
        </w:rPr>
        <w:t xml:space="preserve"> reversed amount shouldn</w:t>
      </w:r>
      <w:r>
        <w:rPr>
          <w:rFonts w:ascii="Times New Roman" w:hAnsi="Times New Roman" w:cs="Times New Roman"/>
          <w:sz w:val="24"/>
          <w:szCs w:val="24"/>
        </w:rPr>
        <w:t>’</w:t>
      </w:r>
      <w:r>
        <w:rPr>
          <w:rFonts w:ascii="Times New Roman" w:hAnsi="Times New Roman" w:cs="Times New Roman" w:hint="eastAsia"/>
          <w:sz w:val="24"/>
          <w:szCs w:val="24"/>
        </w:rPr>
        <w:t>t be more than</w:t>
      </w:r>
      <w:r>
        <w:rPr>
          <w:rFonts w:ascii="Times New Roman" w:hAnsi="Times New Roman" w:cs="Times New Roman"/>
          <w:sz w:val="24"/>
          <w:szCs w:val="24"/>
        </w:rPr>
        <w:t xml:space="preserve"> impairment</w:t>
      </w:r>
      <w:r>
        <w:rPr>
          <w:rFonts w:ascii="Times New Roman" w:hAnsi="Times New Roman" w:cs="Times New Roman" w:hint="eastAsia"/>
          <w:sz w:val="24"/>
          <w:szCs w:val="24"/>
        </w:rPr>
        <w:t xml:space="preserve"> loss of the related held-for-sale asset after they are recognized as held-for-sale</w:t>
      </w:r>
      <w:r>
        <w:rPr>
          <w:rFonts w:ascii="Times New Roman" w:hAnsi="Times New Roman" w:cs="Times New Roman"/>
          <w:sz w:val="24"/>
          <w:szCs w:val="24"/>
        </w:rPr>
        <w:t xml:space="preserve">. The reserved loss is </w:t>
      </w:r>
      <w:r>
        <w:rPr>
          <w:rFonts w:ascii="Times New Roman" w:hAnsi="Times New Roman" w:cs="Times New Roman" w:hint="eastAsia"/>
          <w:sz w:val="24"/>
          <w:szCs w:val="24"/>
        </w:rPr>
        <w:t>recorded</w:t>
      </w:r>
      <w:r>
        <w:rPr>
          <w:rFonts w:ascii="Times New Roman" w:hAnsi="Times New Roman" w:cs="Times New Roman"/>
          <w:sz w:val="24"/>
          <w:szCs w:val="24"/>
        </w:rPr>
        <w:t xml:space="preserve"> in the current profit or loss. Impairment losses on assets recognized prior to classification as held for sale shall not be reversed.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the impairment loss recognized by the </w:t>
      </w:r>
      <w:r>
        <w:rPr>
          <w:rFonts w:ascii="Times New Roman" w:hAnsi="Times New Roman" w:cs="Times New Roman" w:hint="eastAsia"/>
          <w:sz w:val="24"/>
          <w:szCs w:val="24"/>
        </w:rPr>
        <w:t xml:space="preserve">held-for-sale </w:t>
      </w:r>
      <w:r>
        <w:rPr>
          <w:rFonts w:ascii="Times New Roman" w:hAnsi="Times New Roman" w:cs="Times New Roman"/>
          <w:sz w:val="24"/>
          <w:szCs w:val="24"/>
        </w:rPr>
        <w:t>disposal group, the book value of the goodwill in the disposal group is first offset, and then deduct</w:t>
      </w:r>
      <w:r>
        <w:rPr>
          <w:rFonts w:ascii="Times New Roman" w:hAnsi="Times New Roman" w:cs="Times New Roman" w:hint="eastAsia"/>
          <w:sz w:val="24"/>
          <w:szCs w:val="24"/>
        </w:rPr>
        <w:t>ing</w:t>
      </w:r>
      <w:r>
        <w:rPr>
          <w:rFonts w:ascii="Times New Roman" w:hAnsi="Times New Roman" w:cs="Times New Roman"/>
          <w:sz w:val="24"/>
          <w:szCs w:val="24"/>
        </w:rPr>
        <w:t xml:space="preserve"> the book value of the various non-current assets in proportion to the book value of the non-current assets.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If the fair value of the disposal group held for sale on the subsequent balance sheet day is increased, the amount of the previous write-down shall be </w:t>
      </w:r>
      <w:r>
        <w:rPr>
          <w:rFonts w:ascii="Times New Roman" w:hAnsi="Times New Roman" w:cs="Times New Roman" w:hint="eastAsia"/>
          <w:sz w:val="24"/>
          <w:szCs w:val="24"/>
        </w:rPr>
        <w:t>reserved</w:t>
      </w:r>
      <w:r>
        <w:rPr>
          <w:rFonts w:ascii="Times New Roman" w:hAnsi="Times New Roman" w:cs="Times New Roman"/>
          <w:sz w:val="24"/>
          <w:szCs w:val="24"/>
        </w:rPr>
        <w:t>, the amount of the previous write-down shall be reversed and reversed amount shouldn’t be more than impairment loss of the related held-for-sale asset after they are recognized as held-for-sale. The reserved loss is recorded in the current profit or loss. The book value of the goodwill that has been written off</w:t>
      </w:r>
      <w:r>
        <w:rPr>
          <w:rFonts w:ascii="Times New Roman" w:hAnsi="Times New Roman" w:cs="Times New Roman" w:hint="eastAsia"/>
          <w:sz w:val="24"/>
          <w:szCs w:val="24"/>
        </w:rPr>
        <w:t xml:space="preserve"> </w:t>
      </w:r>
      <w:r>
        <w:rPr>
          <w:rFonts w:ascii="Times New Roman" w:hAnsi="Times New Roman" w:cs="Times New Roman"/>
          <w:sz w:val="24"/>
          <w:szCs w:val="24"/>
        </w:rPr>
        <w:t>and the impairment loss of assets before the non-current assets are classified as held for sale shall not be reversed.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subsequent reversal amount of the asset </w:t>
      </w:r>
      <w:r>
        <w:rPr>
          <w:rFonts w:ascii="Times New Roman" w:hAnsi="Times New Roman" w:cs="Times New Roman" w:hint="eastAsia"/>
          <w:sz w:val="24"/>
          <w:szCs w:val="24"/>
        </w:rPr>
        <w:t>impairment</w:t>
      </w:r>
      <w:r>
        <w:rPr>
          <w:rFonts w:ascii="Times New Roman" w:hAnsi="Times New Roman" w:cs="Times New Roman"/>
          <w:sz w:val="24"/>
          <w:szCs w:val="24"/>
        </w:rPr>
        <w:t xml:space="preserve"> losses recognized by the held</w:t>
      </w:r>
      <w:r>
        <w:rPr>
          <w:rFonts w:ascii="Times New Roman" w:hAnsi="Times New Roman" w:cs="Times New Roman" w:hint="eastAsia"/>
          <w:sz w:val="24"/>
          <w:szCs w:val="24"/>
        </w:rPr>
        <w:t>-</w:t>
      </w:r>
      <w:r>
        <w:rPr>
          <w:rFonts w:ascii="Times New Roman" w:hAnsi="Times New Roman" w:cs="Times New Roman"/>
          <w:sz w:val="24"/>
          <w:szCs w:val="24"/>
        </w:rPr>
        <w:t>for</w:t>
      </w:r>
      <w:r>
        <w:rPr>
          <w:rFonts w:ascii="Times New Roman" w:hAnsi="Times New Roman" w:cs="Times New Roman" w:hint="eastAsia"/>
          <w:sz w:val="24"/>
          <w:szCs w:val="24"/>
        </w:rPr>
        <w:t>-</w:t>
      </w:r>
      <w:r>
        <w:rPr>
          <w:rFonts w:ascii="Times New Roman" w:hAnsi="Times New Roman" w:cs="Times New Roman"/>
          <w:sz w:val="24"/>
          <w:szCs w:val="24"/>
        </w:rPr>
        <w:t>sale</w:t>
      </w:r>
      <w:r>
        <w:rPr>
          <w:rFonts w:ascii="Times New Roman" w:hAnsi="Times New Roman" w:cs="Times New Roman" w:hint="eastAsia"/>
          <w:sz w:val="24"/>
          <w:szCs w:val="24"/>
        </w:rPr>
        <w:t xml:space="preserve"> disposal group</w:t>
      </w:r>
      <w:r>
        <w:rPr>
          <w:rFonts w:ascii="Times New Roman" w:hAnsi="Times New Roman" w:cs="Times New Roman"/>
          <w:sz w:val="24"/>
          <w:szCs w:val="24"/>
        </w:rPr>
        <w:t xml:space="preserve"> will increase the book value of the non-current assets in proportion to the book value of the non-current assets</w:t>
      </w:r>
      <w:r>
        <w:rPr>
          <w:rFonts w:ascii="Times New Roman" w:hAnsi="Times New Roman" w:cs="Times New Roman" w:hint="eastAsia"/>
          <w:sz w:val="24"/>
          <w:szCs w:val="24"/>
        </w:rPr>
        <w:t xml:space="preserve"> (not include goodwill)</w:t>
      </w:r>
      <w:r>
        <w:rPr>
          <w:rFonts w:ascii="Times New Roman" w:hAnsi="Times New Roman" w:cs="Times New Roman"/>
          <w:sz w:val="24"/>
          <w:szCs w:val="24"/>
        </w:rPr>
        <w: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Non-current assets held for sale or non-current assets in the disposal group are not subject to depreciation or amortization. The interest and other expenses of the liabilities in the disposal group held for sale continue to be </w:t>
      </w:r>
      <w:r>
        <w:rPr>
          <w:rFonts w:ascii="Times New Roman" w:hAnsi="Times New Roman" w:cs="Times New Roman" w:hint="eastAsia"/>
          <w:sz w:val="24"/>
          <w:szCs w:val="24"/>
        </w:rPr>
        <w:t>recorded</w:t>
      </w:r>
      <w:r>
        <w:rPr>
          <w:rFonts w:ascii="Times New Roman" w:hAnsi="Times New Roman" w:cs="Times New Roman"/>
          <w:sz w:val="24"/>
          <w:szCs w:val="24"/>
        </w:rPr>
        <w: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lastRenderedPageBreak/>
        <w:t>Non-current assets held for sale</w:t>
      </w:r>
      <w:r>
        <w:rPr>
          <w:rFonts w:ascii="Times New Roman" w:hAnsi="Times New Roman" w:cs="Times New Roman" w:hint="eastAsia"/>
          <w:sz w:val="24"/>
          <w:szCs w:val="24"/>
        </w:rPr>
        <w:t xml:space="preserve"> or disposal groups</w:t>
      </w:r>
      <w:r>
        <w:rPr>
          <w:rFonts w:ascii="Times New Roman" w:hAnsi="Times New Roman" w:cs="Times New Roman"/>
          <w:sz w:val="24"/>
          <w:szCs w:val="24"/>
        </w:rPr>
        <w:t xml:space="preserve"> are no longer continued to be classified as held-for-sale </w:t>
      </w:r>
      <w:r>
        <w:rPr>
          <w:rFonts w:ascii="Times New Roman" w:hAnsi="Times New Roman" w:cs="Times New Roman" w:hint="eastAsia"/>
          <w:sz w:val="24"/>
          <w:szCs w:val="24"/>
        </w:rPr>
        <w:t>when</w:t>
      </w:r>
      <w:r>
        <w:rPr>
          <w:rFonts w:ascii="Times New Roman" w:hAnsi="Times New Roman" w:cs="Times New Roman"/>
          <w:sz w:val="24"/>
          <w:szCs w:val="24"/>
        </w:rPr>
        <w:t xml:space="preserve"> they </w:t>
      </w:r>
      <w:r>
        <w:rPr>
          <w:rFonts w:ascii="Times New Roman" w:hAnsi="Times New Roman" w:cs="Times New Roman" w:hint="eastAsia"/>
          <w:sz w:val="24"/>
          <w:szCs w:val="24"/>
        </w:rPr>
        <w:t>cannot</w:t>
      </w:r>
      <w:r>
        <w:rPr>
          <w:rFonts w:ascii="Times New Roman" w:hAnsi="Times New Roman" w:cs="Times New Roman"/>
          <w:sz w:val="24"/>
          <w:szCs w:val="24"/>
        </w:rPr>
        <w:t xml:space="preserve"> meet the requirements </w:t>
      </w:r>
      <w:r>
        <w:rPr>
          <w:rFonts w:ascii="Times New Roman" w:hAnsi="Times New Roman" w:cs="Times New Roman" w:hint="eastAsia"/>
          <w:sz w:val="24"/>
          <w:szCs w:val="24"/>
        </w:rPr>
        <w:t>of</w:t>
      </w:r>
      <w:r>
        <w:rPr>
          <w:rFonts w:ascii="Times New Roman" w:hAnsi="Times New Roman" w:cs="Times New Roman"/>
          <w:sz w:val="24"/>
          <w:szCs w:val="24"/>
        </w:rPr>
        <w:t xml:space="preserve"> the classification of held-for-sale</w:t>
      </w:r>
      <w:r>
        <w:rPr>
          <w:rFonts w:ascii="Times New Roman" w:hAnsi="Times New Roman" w:cs="Times New Roman" w:hint="eastAsia"/>
          <w:sz w:val="24"/>
          <w:szCs w:val="24"/>
        </w:rPr>
        <w:t xml:space="preserve"> or these non-current assets are removed from the disposal groups</w:t>
      </w:r>
      <w:r>
        <w:rPr>
          <w:rFonts w:ascii="Times New Roman" w:hAnsi="Times New Roman" w:cs="Times New Roman"/>
          <w:sz w:val="24"/>
          <w:szCs w:val="24"/>
        </w:rPr>
        <w:t>.</w:t>
      </w:r>
      <w:r>
        <w:rPr>
          <w:rFonts w:ascii="Times New Roman" w:hAnsi="Times New Roman" w:cs="Times New Roman" w:hint="eastAsia"/>
          <w:sz w:val="24"/>
          <w:szCs w:val="24"/>
        </w:rPr>
        <w:t xml:space="preserve"> They are</w:t>
      </w:r>
      <w:r>
        <w:rPr>
          <w:rFonts w:ascii="Times New Roman" w:hAnsi="Times New Roman" w:cs="Times New Roman"/>
          <w:sz w:val="24"/>
          <w:szCs w:val="24"/>
        </w:rPr>
        <w:t xml:space="preserve"> measured as the</w:t>
      </w:r>
      <w:r>
        <w:rPr>
          <w:rFonts w:ascii="Times New Roman" w:hAnsi="Times New Roman" w:cs="Times New Roman" w:hint="eastAsia"/>
          <w:sz w:val="24"/>
          <w:szCs w:val="24"/>
        </w:rPr>
        <w:t xml:space="preserve"> lower</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of </w:t>
      </w:r>
      <w:r>
        <w:rPr>
          <w:rFonts w:ascii="Times New Roman" w:hAnsi="Times New Roman" w:cs="Times New Roman"/>
          <w:sz w:val="24"/>
          <w:szCs w:val="24"/>
        </w:rPr>
        <w:t xml:space="preserve">follows: (1) </w:t>
      </w:r>
      <w:r>
        <w:rPr>
          <w:rFonts w:ascii="Times New Roman" w:hAnsi="Times New Roman" w:cs="Times New Roman" w:hint="eastAsia"/>
          <w:sz w:val="24"/>
          <w:szCs w:val="24"/>
        </w:rPr>
        <w:t>t</w:t>
      </w:r>
      <w:r>
        <w:rPr>
          <w:rFonts w:ascii="Times New Roman" w:hAnsi="Times New Roman" w:cs="Times New Roman"/>
          <w:sz w:val="24"/>
          <w:szCs w:val="24"/>
        </w:rPr>
        <w:t xml:space="preserve">he book value before being classified as held for sale </w:t>
      </w:r>
      <w:r>
        <w:rPr>
          <w:rFonts w:ascii="Times New Roman" w:hAnsi="Times New Roman" w:cs="Times New Roman" w:hint="eastAsia"/>
          <w:sz w:val="24"/>
          <w:szCs w:val="24"/>
        </w:rPr>
        <w:t>less the</w:t>
      </w:r>
      <w:r>
        <w:rPr>
          <w:rFonts w:ascii="Times New Roman" w:hAnsi="Times New Roman" w:cs="Times New Roman"/>
          <w:sz w:val="24"/>
          <w:szCs w:val="24"/>
        </w:rPr>
        <w:t xml:space="preserve"> depreciation, amortization or impairment that has been recognized;</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(2) </w:t>
      </w:r>
      <w:r>
        <w:rPr>
          <w:rFonts w:ascii="Times New Roman" w:hAnsi="Times New Roman" w:cs="Times New Roman" w:hint="eastAsia"/>
          <w:sz w:val="24"/>
          <w:szCs w:val="24"/>
        </w:rPr>
        <w:t>r</w:t>
      </w:r>
      <w:r>
        <w:rPr>
          <w:rFonts w:ascii="Times New Roman" w:hAnsi="Times New Roman" w:cs="Times New Roman"/>
          <w:sz w:val="24"/>
          <w:szCs w:val="24"/>
        </w:rPr>
        <w:t>ecoverable amount.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In the</w:t>
      </w:r>
      <w:r>
        <w:rPr>
          <w:rFonts w:ascii="Times New Roman" w:hAnsi="Times New Roman" w:cs="Times New Roman"/>
          <w:sz w:val="24"/>
          <w:szCs w:val="24"/>
        </w:rPr>
        <w:t xml:space="preserve"> terminati</w:t>
      </w:r>
      <w:r>
        <w:rPr>
          <w:rFonts w:ascii="Times New Roman" w:hAnsi="Times New Roman" w:cs="Times New Roman" w:hint="eastAsia"/>
          <w:sz w:val="24"/>
          <w:szCs w:val="24"/>
        </w:rPr>
        <w:t>on of</w:t>
      </w:r>
      <w:r>
        <w:rPr>
          <w:rFonts w:ascii="Times New Roman" w:hAnsi="Times New Roman" w:cs="Times New Roman"/>
          <w:sz w:val="24"/>
          <w:szCs w:val="24"/>
        </w:rPr>
        <w:t xml:space="preserve"> the recognition of a </w:t>
      </w:r>
      <w:proofErr w:type="gramStart"/>
      <w:r>
        <w:rPr>
          <w:rFonts w:ascii="Times New Roman" w:hAnsi="Times New Roman" w:cs="Times New Roman"/>
          <w:sz w:val="24"/>
          <w:szCs w:val="24"/>
        </w:rPr>
        <w:t>non-current asse</w:t>
      </w:r>
      <w:r>
        <w:rPr>
          <w:rFonts w:ascii="Times New Roman" w:hAnsi="Times New Roman" w:cs="Times New Roman" w:hint="eastAsia"/>
          <w:sz w:val="24"/>
          <w:szCs w:val="24"/>
        </w:rPr>
        <w:t>ts</w:t>
      </w:r>
      <w:proofErr w:type="gramEnd"/>
      <w:r>
        <w:rPr>
          <w:rFonts w:ascii="Times New Roman" w:hAnsi="Times New Roman" w:cs="Times New Roman" w:hint="eastAsia"/>
          <w:sz w:val="24"/>
          <w:szCs w:val="24"/>
        </w:rPr>
        <w:t xml:space="preserve"> </w:t>
      </w:r>
      <w:r>
        <w:rPr>
          <w:rFonts w:ascii="Times New Roman" w:hAnsi="Times New Roman" w:cs="Times New Roman"/>
          <w:sz w:val="24"/>
          <w:szCs w:val="24"/>
        </w:rPr>
        <w:t>held for sale or disposal group</w:t>
      </w:r>
      <w:r>
        <w:rPr>
          <w:rFonts w:ascii="Times New Roman" w:hAnsi="Times New Roman" w:cs="Times New Roman" w:hint="eastAsia"/>
          <w:sz w:val="24"/>
          <w:szCs w:val="24"/>
        </w:rPr>
        <w:t>s</w:t>
      </w:r>
      <w:r>
        <w:rPr>
          <w:rFonts w:ascii="Times New Roman" w:hAnsi="Times New Roman" w:cs="Times New Roman"/>
          <w:sz w:val="24"/>
          <w:szCs w:val="24"/>
        </w:rPr>
        <w:t xml:space="preserve">, the unrecognized gain or loss is </w:t>
      </w:r>
      <w:r>
        <w:rPr>
          <w:rFonts w:ascii="Times New Roman" w:hAnsi="Times New Roman" w:cs="Times New Roman" w:hint="eastAsia"/>
          <w:sz w:val="24"/>
          <w:szCs w:val="24"/>
        </w:rPr>
        <w:t>recorded</w:t>
      </w:r>
      <w:r>
        <w:rPr>
          <w:rFonts w:ascii="Times New Roman" w:hAnsi="Times New Roman" w:cs="Times New Roman"/>
          <w:sz w:val="24"/>
          <w:szCs w:val="24"/>
        </w:rPr>
        <w:t xml:space="preserve"> in the current profit or loss. The sale needs to obtain relevant approval.</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21. Employee compensation</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Employee benefits include short-term employee </w:t>
      </w:r>
      <w:r>
        <w:rPr>
          <w:rFonts w:ascii="Times New Roman" w:hAnsi="Times New Roman" w:cs="Times New Roman" w:hint="eastAsia"/>
          <w:sz w:val="24"/>
          <w:szCs w:val="24"/>
        </w:rPr>
        <w:t>compensation</w:t>
      </w:r>
      <w:r>
        <w:rPr>
          <w:rFonts w:ascii="Times New Roman" w:hAnsi="Times New Roman" w:cs="Times New Roman"/>
          <w:sz w:val="24"/>
          <w:szCs w:val="24"/>
        </w:rPr>
        <w:t>, post-employment benefits, early retirement benefits and other long-term employee benefits provided in various forms of consideration in exchange for service rendered by employees or compensations for the termination of employment relationship.</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Short-term employee benefits include employee wages or salaries, bonus, allowances and subsidies, staff welfare, premiums or contributions on medical insurance, work injury insurance and maternity insurance, housing funds, union running costs and employee education costs, short-term paid absences. The employee benefit liabilities are recognized in the accounting period in which the service is rendered by the employees, with a corresponding charge to the profit or loss for the current period.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Group classifies post-employment benefit plans as either defined contribution plans or defined benefit plans. Defined contribution plans are post-employment benefit plans under which the Group pays fixed contributions into a separate fund and will have no obligation to pay further contributions; and Defined benefit plans are post-employment benefit plans other than defined contribution plans. During the reporting period, the Group’s post-employment benefits mainly include </w:t>
      </w:r>
      <w:r>
        <w:rPr>
          <w:rFonts w:ascii="Times New Roman" w:hAnsi="Times New Roman" w:cs="Times New Roman"/>
          <w:sz w:val="24"/>
          <w:szCs w:val="24"/>
        </w:rPr>
        <w:lastRenderedPageBreak/>
        <w:t>social security insurance and unemployment insurance, which are defined contribution plans.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Group’s employees participate in the basic pension plan set up and administered by local authorities of Ministry of Human Resource and Social Security. Monthly payments of premiums on the basic pensions are calculated according to prescribed bases and percentage by the relevant local authorities. When employees retire, the relevant local authorities are obliged to pay the basic pensions to them. The amounts based on the above calculations are recognized as liabilities in the accounting period in which the service has been rendered by the employees, with a corresponding charge to the profit or loss for the current period.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offers early retirement benefits to those employees who accept early retirement arrangements. The early retirement benefits refer to the salaries and social security contributions to be paid to and for the employees who accept voluntary retirement before the normal retirement date prescribed by the State, as approved by the management. The Group pays early retirement benefits to those early retired employees from the early retirement date until normal retirement date. The Group accounts for the early retirement benefits in accordance with the treatment of termination benefits, in which the salaries and social security contributions to be paid to and for the early retired employees from the off-duty date to the normal retirement date are recognized as liabilities with a corresponding charge to the profit or loss for the current period. The differences arising from the changes in the respective actuarial assumptions of the early retirement benefits and the adjustments of benefit standards are recognized in profit or loss in the period in which they occur.</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22. Provision</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Provisions are recognized by the Group when obligations related to contingent matters meet all the following conditions:</w:t>
      </w: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t</w:t>
      </w:r>
      <w:r>
        <w:rPr>
          <w:rFonts w:ascii="Times New Roman" w:hAnsi="Times New Roman" w:cs="Times New Roman"/>
          <w:sz w:val="24"/>
          <w:szCs w:val="24"/>
        </w:rPr>
        <w:t>he</w:t>
      </w:r>
      <w:proofErr w:type="gramEnd"/>
      <w:r>
        <w:rPr>
          <w:rFonts w:ascii="Times New Roman" w:hAnsi="Times New Roman" w:cs="Times New Roman"/>
          <w:sz w:val="24"/>
          <w:szCs w:val="24"/>
        </w:rPr>
        <w:t xml:space="preserve"> Group has present legal or constructive obligations as a result of past events;</w:t>
      </w:r>
      <w:r>
        <w:rPr>
          <w:rFonts w:ascii="Times New Roman" w:hAnsi="Times New Roman" w:cs="Times New Roman" w:hint="eastAsia"/>
          <w:sz w:val="24"/>
          <w:szCs w:val="24"/>
        </w:rPr>
        <w:t xml:space="preserve"> i</w:t>
      </w:r>
      <w:r>
        <w:rPr>
          <w:rFonts w:ascii="Times New Roman" w:hAnsi="Times New Roman" w:cs="Times New Roman"/>
          <w:sz w:val="24"/>
          <w:szCs w:val="24"/>
        </w:rPr>
        <w:t xml:space="preserve">t is probable that an outflow of resources from </w:t>
      </w:r>
      <w:r>
        <w:rPr>
          <w:rFonts w:ascii="Times New Roman" w:hAnsi="Times New Roman" w:cs="Times New Roman"/>
          <w:sz w:val="24"/>
          <w:szCs w:val="24"/>
        </w:rPr>
        <w:lastRenderedPageBreak/>
        <w:t>the Group will be required to settle the obligation; and</w:t>
      </w:r>
      <w:r>
        <w:rPr>
          <w:rFonts w:ascii="Times New Roman" w:hAnsi="Times New Roman" w:cs="Times New Roman" w:hint="eastAsia"/>
          <w:sz w:val="24"/>
          <w:szCs w:val="24"/>
        </w:rPr>
        <w:t xml:space="preserve"> t</w:t>
      </w:r>
      <w:r>
        <w:rPr>
          <w:rFonts w:ascii="Times New Roman" w:hAnsi="Times New Roman" w:cs="Times New Roman"/>
          <w:sz w:val="24"/>
          <w:szCs w:val="24"/>
        </w:rPr>
        <w:t>he amount has been reliably estimated.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A provision is initially measured at the best estimate of the expenditure required to settle the related present obligation. Factors surrounding a contingency, such as the risks, uncertainties and the time value of money, are </w:t>
      </w:r>
      <w:proofErr w:type="gramStart"/>
      <w:r>
        <w:rPr>
          <w:rFonts w:ascii="Times New Roman" w:hAnsi="Times New Roman" w:cs="Times New Roman"/>
          <w:sz w:val="24"/>
          <w:szCs w:val="24"/>
        </w:rPr>
        <w:t>taken into account</w:t>
      </w:r>
      <w:proofErr w:type="gramEnd"/>
      <w:r>
        <w:rPr>
          <w:rFonts w:ascii="Times New Roman" w:hAnsi="Times New Roman" w:cs="Times New Roman"/>
          <w:sz w:val="24"/>
          <w:szCs w:val="24"/>
        </w:rPr>
        <w:t xml:space="preserve"> as a whole in reaching the best estimate of a provision. Where the effect of the time value of money is material, the best estimate is determined by discounting the related future cash outflows.</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23. Revenue and expense recognition</w:t>
      </w:r>
    </w:p>
    <w:p w:rsidR="000B609E" w:rsidRDefault="00B220E1">
      <w:pPr>
        <w:pStyle w:val="11"/>
        <w:numPr>
          <w:ilvl w:val="0"/>
          <w:numId w:val="13"/>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Interest income and interest expense</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Interest income and expense are recognized at amortized cost of financial assets and financial liabilities in profit or loss using the effective interest method.</w:t>
      </w:r>
      <w:r>
        <w:t xml:space="preserve"> </w:t>
      </w:r>
      <w:r>
        <w:rPr>
          <w:rFonts w:ascii="Times New Roman" w:hAnsi="Times New Roman" w:cs="Times New Roman"/>
          <w:sz w:val="24"/>
          <w:szCs w:val="24"/>
        </w:rPr>
        <w:t>When the balance between effective interest rate and contract rate is relatively small, it shall be directly confirmed according to contract rate.</w:t>
      </w:r>
    </w:p>
    <w:p w:rsidR="000B609E" w:rsidRDefault="00B220E1">
      <w:pPr>
        <w:pStyle w:val="11"/>
        <w:numPr>
          <w:ilvl w:val="0"/>
          <w:numId w:val="13"/>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Fee and commission income</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Commission income is recognized when the services have been rendered and the proceeds can be reasonably estimated.</w:t>
      </w:r>
      <w:r>
        <w:rPr>
          <w:rFonts w:ascii="Times New Roman" w:hAnsi="Times New Roman" w:cs="Times New Roman" w:hint="eastAsia"/>
          <w:sz w:val="24"/>
          <w:szCs w:val="24"/>
        </w:rPr>
        <w:t xml:space="preserve"> </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24. Government subsidies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government subsidy means that the Group obtains monetary assets and non-monetary assets from the government for free, </w:t>
      </w:r>
      <w:r>
        <w:rPr>
          <w:rFonts w:ascii="Times New Roman" w:hAnsi="Times New Roman" w:cs="Times New Roman" w:hint="eastAsia"/>
          <w:sz w:val="24"/>
          <w:szCs w:val="24"/>
        </w:rPr>
        <w:t>but</w:t>
      </w:r>
      <w:r>
        <w:rPr>
          <w:rFonts w:ascii="Times New Roman" w:hAnsi="Times New Roman" w:cs="Times New Roman"/>
          <w:sz w:val="24"/>
          <w:szCs w:val="24"/>
        </w:rPr>
        <w:t xml:space="preserve"> does not include the capital invested by the government as the owner. Government grants are recognized when </w:t>
      </w:r>
      <w:r>
        <w:rPr>
          <w:rFonts w:ascii="Times New Roman" w:hAnsi="Times New Roman" w:cs="Times New Roman" w:hint="eastAsia"/>
          <w:sz w:val="24"/>
          <w:szCs w:val="24"/>
        </w:rPr>
        <w:t>the Group</w:t>
      </w:r>
      <w:r>
        <w:rPr>
          <w:rFonts w:ascii="Times New Roman" w:hAnsi="Times New Roman" w:cs="Times New Roman"/>
          <w:sz w:val="24"/>
          <w:szCs w:val="24"/>
        </w:rPr>
        <w:t xml:space="preserve"> </w:t>
      </w:r>
      <w:r>
        <w:rPr>
          <w:rFonts w:ascii="Times New Roman" w:hAnsi="Times New Roman" w:cs="Times New Roman" w:hint="eastAsia"/>
          <w:sz w:val="24"/>
          <w:szCs w:val="24"/>
        </w:rPr>
        <w:t>can receive</w:t>
      </w:r>
      <w:r>
        <w:rPr>
          <w:rFonts w:ascii="Times New Roman" w:hAnsi="Times New Roman" w:cs="Times New Roman"/>
          <w:sz w:val="24"/>
          <w:szCs w:val="24"/>
        </w:rPr>
        <w:t xml:space="preserve"> </w:t>
      </w:r>
      <w:r>
        <w:rPr>
          <w:rFonts w:ascii="Times New Roman" w:hAnsi="Times New Roman" w:cs="Times New Roman" w:hint="eastAsia"/>
          <w:sz w:val="24"/>
          <w:szCs w:val="24"/>
        </w:rPr>
        <w:t>them</w:t>
      </w:r>
      <w:r>
        <w:rPr>
          <w:rFonts w:ascii="Times New Roman" w:hAnsi="Times New Roman" w:cs="Times New Roman"/>
          <w:sz w:val="24"/>
          <w:szCs w:val="24"/>
        </w:rPr>
        <w:t>. Government grants are divided into asset-related government grants and income-related government grants.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If the government subsidy is a monetary asset, it shall be measured according to the amount received or receivable. If a government subsidy is a non-monetary asset, it </w:t>
      </w:r>
      <w:r>
        <w:rPr>
          <w:rFonts w:ascii="Times New Roman" w:hAnsi="Times New Roman" w:cs="Times New Roman"/>
          <w:sz w:val="24"/>
          <w:szCs w:val="24"/>
        </w:rPr>
        <w:lastRenderedPageBreak/>
        <w:t>shall be measured at its fair value</w:t>
      </w:r>
      <w:r>
        <w:rPr>
          <w:rFonts w:ascii="Times New Roman" w:hAnsi="Times New Roman" w:cs="Times New Roman" w:hint="eastAsia"/>
          <w:sz w:val="24"/>
          <w:szCs w:val="24"/>
        </w:rPr>
        <w:t>.</w:t>
      </w:r>
      <w:r>
        <w:rPr>
          <w:rFonts w:ascii="Times New Roman" w:hAnsi="Times New Roman" w:cs="Times New Roman"/>
          <w:sz w:val="24"/>
          <w:szCs w:val="24"/>
        </w:rPr>
        <w:t xml:space="preserve"> If the fair value cannot be reliably obtained, it shall be measured at a nominal amount. Government grants measured at nominal amounts are directly charged to profit or loss for the current period.</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If t</w:t>
      </w:r>
      <w:r>
        <w:rPr>
          <w:rFonts w:ascii="Times New Roman" w:hAnsi="Times New Roman" w:cs="Times New Roman"/>
          <w:sz w:val="24"/>
          <w:szCs w:val="24"/>
        </w:rPr>
        <w:t>he government grants</w:t>
      </w:r>
      <w:r>
        <w:rPr>
          <w:rFonts w:ascii="Times New Roman" w:hAnsi="Times New Roman" w:cs="Times New Roman" w:hint="eastAsia"/>
          <w:sz w:val="24"/>
          <w:szCs w:val="24"/>
        </w:rPr>
        <w:t xml:space="preserve"> are</w:t>
      </w:r>
      <w:r>
        <w:rPr>
          <w:rFonts w:ascii="Times New Roman" w:hAnsi="Times New Roman" w:cs="Times New Roman"/>
          <w:sz w:val="24"/>
          <w:szCs w:val="24"/>
        </w:rPr>
        <w:t xml:space="preserve"> related to assets</w:t>
      </w:r>
      <w:r>
        <w:rPr>
          <w:rFonts w:ascii="Times New Roman" w:hAnsi="Times New Roman" w:cs="Times New Roman" w:hint="eastAsia"/>
          <w:sz w:val="24"/>
          <w:szCs w:val="24"/>
        </w:rPr>
        <w:t>, the Group</w:t>
      </w:r>
      <w:r>
        <w:rPr>
          <w:rFonts w:ascii="Times New Roman" w:hAnsi="Times New Roman" w:cs="Times New Roman"/>
          <w:sz w:val="24"/>
          <w:szCs w:val="24"/>
        </w:rPr>
        <w:t xml:space="preserve"> should offset the book value of the relevant assets</w:t>
      </w:r>
      <w:r>
        <w:rPr>
          <w:rFonts w:ascii="Times New Roman" w:hAnsi="Times New Roman" w:cs="Times New Roman" w:hint="eastAsia"/>
          <w:sz w:val="24"/>
          <w:szCs w:val="24"/>
        </w:rPr>
        <w:t xml:space="preserve"> and recognize these grants</w:t>
      </w:r>
      <w:r>
        <w:rPr>
          <w:rFonts w:ascii="Times New Roman" w:hAnsi="Times New Roman" w:cs="Times New Roman"/>
          <w:sz w:val="24"/>
          <w:szCs w:val="24"/>
        </w:rPr>
        <w:t xml:space="preserve"> as deferred income. If a government grant related to an asset is recognized as deferred income, it shall be recorded in profit or loss for the current period in a reasonable and systematic manner within the useful life of the relevant asset.</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government subsidies related to income are used to compensate for the related expenses and losses in the subsequent period, they shall be recognized as deferred income and recorded in the current profit or loss or the relevant costs in the period in which the related expenses are recognized</w:t>
      </w:r>
      <w:r>
        <w:rPr>
          <w:rFonts w:ascii="Times New Roman" w:hAnsi="Times New Roman" w:cs="Times New Roman" w:hint="eastAsia"/>
          <w:sz w:val="24"/>
          <w:szCs w:val="24"/>
        </w:rPr>
        <w:t xml:space="preserve">. </w:t>
      </w:r>
      <w:r>
        <w:rPr>
          <w:rFonts w:ascii="Times New Roman" w:hAnsi="Times New Roman" w:cs="Times New Roman"/>
          <w:sz w:val="24"/>
          <w:szCs w:val="24"/>
        </w:rPr>
        <w:t>If the government subsidies related to income</w:t>
      </w:r>
      <w:r>
        <w:rPr>
          <w:rFonts w:ascii="Times New Roman" w:hAnsi="Times New Roman" w:cs="Times New Roman" w:hint="eastAsia"/>
          <w:sz w:val="24"/>
          <w:szCs w:val="24"/>
        </w:rPr>
        <w:t xml:space="preserve"> are </w:t>
      </w:r>
      <w:r>
        <w:rPr>
          <w:rFonts w:ascii="Times New Roman" w:hAnsi="Times New Roman" w:cs="Times New Roman"/>
          <w:sz w:val="24"/>
          <w:szCs w:val="24"/>
        </w:rPr>
        <w:t xml:space="preserve">used to compensate for the related expenses </w:t>
      </w:r>
      <w:r>
        <w:rPr>
          <w:rFonts w:ascii="Times New Roman" w:hAnsi="Times New Roman" w:cs="Times New Roman" w:hint="eastAsia"/>
          <w:sz w:val="24"/>
          <w:szCs w:val="24"/>
        </w:rPr>
        <w:t xml:space="preserve">or loss </w:t>
      </w:r>
      <w:r>
        <w:rPr>
          <w:rFonts w:ascii="Times New Roman" w:hAnsi="Times New Roman" w:cs="Times New Roman"/>
          <w:sz w:val="24"/>
          <w:szCs w:val="24"/>
        </w:rPr>
        <w:t>that have already occurred</w:t>
      </w:r>
      <w:r>
        <w:rPr>
          <w:rFonts w:ascii="Times New Roman" w:hAnsi="Times New Roman" w:cs="Times New Roman" w:hint="eastAsia"/>
          <w:sz w:val="24"/>
          <w:szCs w:val="24"/>
        </w:rPr>
        <w:t xml:space="preserve">, they shall be recorded </w:t>
      </w:r>
      <w:r>
        <w:rPr>
          <w:rFonts w:ascii="Times New Roman" w:hAnsi="Times New Roman" w:cs="Times New Roman"/>
          <w:sz w:val="24"/>
          <w:szCs w:val="24"/>
        </w:rPr>
        <w:t>directly in the current profit or loss or offset related costs.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Sometimes</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the Group </w:t>
      </w:r>
      <w:r>
        <w:rPr>
          <w:rFonts w:ascii="Times New Roman" w:hAnsi="Times New Roman" w:cs="Times New Roman"/>
          <w:sz w:val="24"/>
          <w:szCs w:val="24"/>
        </w:rPr>
        <w:t>needs</w:t>
      </w:r>
      <w:r>
        <w:rPr>
          <w:rFonts w:ascii="Times New Roman" w:hAnsi="Times New Roman" w:cs="Times New Roman" w:hint="eastAsia"/>
          <w:sz w:val="24"/>
          <w:szCs w:val="24"/>
        </w:rPr>
        <w:t xml:space="preserve"> to return </w:t>
      </w:r>
      <w:r>
        <w:rPr>
          <w:rFonts w:ascii="Times New Roman" w:hAnsi="Times New Roman" w:cs="Times New Roman"/>
          <w:sz w:val="24"/>
          <w:szCs w:val="24"/>
        </w:rPr>
        <w:t xml:space="preserve">a </w:t>
      </w:r>
      <w:r>
        <w:rPr>
          <w:rFonts w:ascii="Times New Roman" w:hAnsi="Times New Roman" w:cs="Times New Roman" w:hint="eastAsia"/>
          <w:sz w:val="24"/>
          <w:szCs w:val="24"/>
        </w:rPr>
        <w:t>recognized</w:t>
      </w:r>
      <w:r>
        <w:rPr>
          <w:rFonts w:ascii="Times New Roman" w:hAnsi="Times New Roman" w:cs="Times New Roman"/>
          <w:sz w:val="24"/>
          <w:szCs w:val="24"/>
        </w:rPr>
        <w:t xml:space="preserve"> government grant</w:t>
      </w:r>
      <w:r>
        <w:rPr>
          <w:rFonts w:ascii="Times New Roman" w:hAnsi="Times New Roman" w:cs="Times New Roman" w:hint="eastAsia"/>
          <w:sz w:val="24"/>
          <w:szCs w:val="24"/>
        </w:rPr>
        <w:t>.</w:t>
      </w:r>
      <w:r>
        <w:rPr>
          <w:rFonts w:ascii="Times New Roman" w:hAnsi="Times New Roman" w:cs="Times New Roman"/>
          <w:sz w:val="24"/>
          <w:szCs w:val="24"/>
        </w:rPr>
        <w:t xml:space="preserve"> If there is a related deferred income balance, the relevant deferred income will be offset against the carrying amount of the deferred income, and the excess</w:t>
      </w:r>
      <w:r>
        <w:rPr>
          <w:rFonts w:ascii="Times New Roman" w:hAnsi="Times New Roman" w:cs="Times New Roman" w:hint="eastAsia"/>
          <w:sz w:val="24"/>
          <w:szCs w:val="24"/>
        </w:rPr>
        <w:t xml:space="preserve"> part</w:t>
      </w:r>
      <w:r>
        <w:rPr>
          <w:rFonts w:ascii="Times New Roman" w:hAnsi="Times New Roman" w:cs="Times New Roman"/>
          <w:sz w:val="24"/>
          <w:szCs w:val="24"/>
        </w:rPr>
        <w:t xml:space="preserve"> will be </w:t>
      </w:r>
      <w:r>
        <w:rPr>
          <w:rFonts w:ascii="Times New Roman" w:hAnsi="Times New Roman" w:cs="Times New Roman" w:hint="eastAsia"/>
          <w:sz w:val="24"/>
          <w:szCs w:val="24"/>
        </w:rPr>
        <w:t>recorded</w:t>
      </w:r>
      <w:r>
        <w:rPr>
          <w:rFonts w:ascii="Times New Roman" w:hAnsi="Times New Roman" w:cs="Times New Roman"/>
          <w:sz w:val="24"/>
          <w:szCs w:val="24"/>
        </w:rPr>
        <w:t xml:space="preserve"> </w:t>
      </w:r>
      <w:r>
        <w:rPr>
          <w:rFonts w:ascii="Times New Roman" w:hAnsi="Times New Roman" w:cs="Times New Roman" w:hint="eastAsia"/>
          <w:sz w:val="24"/>
          <w:szCs w:val="24"/>
        </w:rPr>
        <w:t>in</w:t>
      </w:r>
      <w:r>
        <w:rPr>
          <w:rFonts w:ascii="Times New Roman" w:hAnsi="Times New Roman" w:cs="Times New Roman"/>
          <w:sz w:val="24"/>
          <w:szCs w:val="24"/>
        </w:rPr>
        <w:t xml:space="preserve"> the current profit or loss. If</w:t>
      </w:r>
      <w:r>
        <w:rPr>
          <w:rFonts w:ascii="Times New Roman" w:hAnsi="Times New Roman" w:cs="Times New Roman" w:hint="eastAsia"/>
          <w:sz w:val="24"/>
          <w:szCs w:val="24"/>
        </w:rPr>
        <w:t xml:space="preserve"> there is no</w:t>
      </w:r>
      <w:r>
        <w:rPr>
          <w:rFonts w:ascii="Times New Roman" w:hAnsi="Times New Roman" w:cs="Times New Roman"/>
          <w:sz w:val="24"/>
          <w:szCs w:val="24"/>
        </w:rPr>
        <w:t xml:space="preserve"> relevant deferred income, it shall be directly </w:t>
      </w:r>
      <w:r>
        <w:rPr>
          <w:rFonts w:ascii="Times New Roman" w:hAnsi="Times New Roman" w:cs="Times New Roman" w:hint="eastAsia"/>
          <w:sz w:val="24"/>
          <w:szCs w:val="24"/>
        </w:rPr>
        <w:t>recorded in</w:t>
      </w:r>
      <w:r>
        <w:rPr>
          <w:rFonts w:ascii="Times New Roman" w:hAnsi="Times New Roman" w:cs="Times New Roman"/>
          <w:sz w:val="24"/>
          <w:szCs w:val="24"/>
        </w:rPr>
        <w:t xml:space="preserve"> the current profit or loss.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government grants related to daily activities shall be </w:t>
      </w:r>
      <w:r>
        <w:rPr>
          <w:rFonts w:ascii="Times New Roman" w:hAnsi="Times New Roman" w:cs="Times New Roman" w:hint="eastAsia"/>
          <w:sz w:val="24"/>
          <w:szCs w:val="24"/>
        </w:rPr>
        <w:t>recorded</w:t>
      </w:r>
      <w:r>
        <w:rPr>
          <w:rFonts w:ascii="Times New Roman" w:hAnsi="Times New Roman" w:cs="Times New Roman"/>
          <w:sz w:val="24"/>
          <w:szCs w:val="24"/>
        </w:rPr>
        <w:t xml:space="preserve"> in other income or used to </w:t>
      </w:r>
      <w:r>
        <w:rPr>
          <w:rFonts w:ascii="Times New Roman" w:hAnsi="Times New Roman" w:cs="Times New Roman" w:hint="eastAsia"/>
          <w:sz w:val="24"/>
          <w:szCs w:val="24"/>
        </w:rPr>
        <w:t>offset</w:t>
      </w:r>
      <w:r>
        <w:rPr>
          <w:rFonts w:ascii="Times New Roman" w:hAnsi="Times New Roman" w:cs="Times New Roman"/>
          <w:sz w:val="24"/>
          <w:szCs w:val="24"/>
        </w:rPr>
        <w:t xml:space="preserve"> the related cost according to the nature of the business. Government grants that are not related to daily activities are </w:t>
      </w:r>
      <w:r>
        <w:rPr>
          <w:rFonts w:ascii="Times New Roman" w:hAnsi="Times New Roman" w:cs="Times New Roman" w:hint="eastAsia"/>
          <w:sz w:val="24"/>
          <w:szCs w:val="24"/>
        </w:rPr>
        <w:t>recorded</w:t>
      </w:r>
      <w:r>
        <w:rPr>
          <w:rFonts w:ascii="Times New Roman" w:hAnsi="Times New Roman" w:cs="Times New Roman"/>
          <w:sz w:val="24"/>
          <w:szCs w:val="24"/>
        </w:rPr>
        <w:t xml:space="preserve"> in non-</w:t>
      </w:r>
      <w:r>
        <w:rPr>
          <w:rFonts w:ascii="Times New Roman" w:hAnsi="Times New Roman" w:cs="Times New Roman" w:hint="eastAsia"/>
          <w:sz w:val="24"/>
          <w:szCs w:val="24"/>
        </w:rPr>
        <w:t>business</w:t>
      </w:r>
      <w:r>
        <w:rPr>
          <w:rFonts w:ascii="Times New Roman" w:hAnsi="Times New Roman" w:cs="Times New Roman"/>
          <w:sz w:val="24"/>
          <w:szCs w:val="24"/>
        </w:rPr>
        <w:t xml:space="preserve"> income.</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lastRenderedPageBreak/>
        <w:t>25. Income tax</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Income tax expense includes current income tax and deferred income tax. Income taxes are recognized as an expense or income and include in profit or loss, except to the extent that the tax arises from a business combination or if it relates to a transaction or event which is recognized directly in equity.</w:t>
      </w:r>
      <w:r>
        <w:rPr>
          <w:rFonts w:ascii="Times New Roman" w:hAnsi="Times New Roman" w:cs="Times New Roman" w:hint="eastAsia"/>
          <w:sz w:val="24"/>
          <w:szCs w:val="24"/>
        </w:rPr>
        <w:t xml:space="preserve"> </w:t>
      </w:r>
    </w:p>
    <w:p w:rsidR="000B609E" w:rsidRDefault="00B220E1">
      <w:pPr>
        <w:pStyle w:val="11"/>
        <w:numPr>
          <w:ilvl w:val="0"/>
          <w:numId w:val="14"/>
        </w:numPr>
        <w:spacing w:after="156"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Current income tax</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Current income tax is the expected tax payable on the taxable income for the year, using tax rates enacted or substantially enacted at the financial reporting date, and any adjustment to tax payable in respect of previous years. The calculations of current tax liabilities or assets of the group for the current and prior periods are based on the expected payable or refundable amount of income taxes which the tax law is permitted.</w:t>
      </w:r>
    </w:p>
    <w:p w:rsidR="000B609E" w:rsidRDefault="00B220E1">
      <w:pPr>
        <w:pStyle w:val="11"/>
        <w:numPr>
          <w:ilvl w:val="0"/>
          <w:numId w:val="14"/>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Deferred tax assets and deferred tax liabilities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Deferred tax assets and deferred tax liabilities are calculated and</w:t>
      </w:r>
      <w:r>
        <w:rPr>
          <w:rFonts w:ascii="Times New Roman" w:hAnsi="Times New Roman" w:cs="Times New Roman" w:hint="eastAsia"/>
          <w:sz w:val="24"/>
          <w:szCs w:val="24"/>
        </w:rPr>
        <w:t xml:space="preserve"> </w:t>
      </w:r>
      <w:r>
        <w:rPr>
          <w:rFonts w:ascii="Times New Roman" w:hAnsi="Times New Roman" w:cs="Times New Roman"/>
          <w:sz w:val="24"/>
          <w:szCs w:val="24"/>
        </w:rPr>
        <w:t>recognized based on the differences arising between the tax bases of assets and liabilities and their carrying amounts (temporary differences). Deferred tax asset is recognized for the deductible losses that can be carried forward to subsequent years for deduction of the taxable profit in accordance with the tax laws. No deferred tax asset or deferred tax liability is recognized for the temporary differences resulting from the initial recognition of assets or liabilities due to a transaction other than a business combination, which affects neither accounting profit nor taxable profit (or deductible loss). At the balance sheet date, deferred tax assets and deferred tax liabilities are measured at the tax rates that are expected to apply to the period when the asset is realized or the liability is settled</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Deferred tax assets are only recognized for deductible temporary differences, deductible losses and tax credits to the extent that it is probable that taxable profit will </w:t>
      </w:r>
      <w:r>
        <w:rPr>
          <w:rFonts w:ascii="Times New Roman" w:hAnsi="Times New Roman" w:cs="Times New Roman"/>
          <w:sz w:val="24"/>
          <w:szCs w:val="24"/>
        </w:rPr>
        <w:lastRenderedPageBreak/>
        <w:t>be available in the future against which the deductible temporary differences, deductible losses and tax credits can be utilized</w:t>
      </w:r>
      <w:r>
        <w:rPr>
          <w:rFonts w:ascii="Times New Roman" w:hAnsi="Times New Roman" w:cs="Times New Roman" w:hint="eastAsia"/>
          <w:sz w:val="24"/>
          <w:szCs w:val="24"/>
        </w:rPr>
        <w:t xml:space="preserve">. </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26. Lease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divides leas</w:t>
      </w:r>
      <w:r>
        <w:rPr>
          <w:rFonts w:ascii="Times New Roman" w:hAnsi="Times New Roman" w:cs="Times New Roman" w:hint="eastAsia"/>
          <w:sz w:val="24"/>
          <w:szCs w:val="24"/>
        </w:rPr>
        <w:t>e</w:t>
      </w:r>
      <w:r>
        <w:rPr>
          <w:rFonts w:ascii="Times New Roman" w:hAnsi="Times New Roman" w:cs="Times New Roman"/>
          <w:sz w:val="24"/>
          <w:szCs w:val="24"/>
        </w:rPr>
        <w:t xml:space="preserve"> into finance leases and operating leases on the leas</w:t>
      </w:r>
      <w:r>
        <w:rPr>
          <w:rFonts w:ascii="Times New Roman" w:hAnsi="Times New Roman" w:cs="Times New Roman" w:hint="eastAsia"/>
          <w:sz w:val="24"/>
          <w:szCs w:val="24"/>
        </w:rPr>
        <w:t>ing</w:t>
      </w:r>
      <w:r>
        <w:rPr>
          <w:rFonts w:ascii="Times New Roman" w:hAnsi="Times New Roman" w:cs="Times New Roman"/>
          <w:sz w:val="24"/>
          <w:szCs w:val="24"/>
        </w:rPr>
        <w:t xml:space="preserve"> beginning date.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 lease that transfers substantially all the risks and rewards incidental to ownership of an asset is a finance lease. An operating lease is a lease other than a finance lease.</w:t>
      </w:r>
    </w:p>
    <w:p w:rsidR="000B609E" w:rsidRDefault="00B220E1">
      <w:pPr>
        <w:pStyle w:val="11"/>
        <w:numPr>
          <w:ilvl w:val="0"/>
          <w:numId w:val="15"/>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Group records the operating lease as a lessee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Lease payments under an operating lease are recognized on a straight-line basis over the period of the lease, and are charged as an expense for the current period. The initial costs are </w:t>
      </w:r>
      <w:r>
        <w:rPr>
          <w:rFonts w:ascii="Times New Roman" w:hAnsi="Times New Roman" w:cs="Times New Roman" w:hint="eastAsia"/>
          <w:sz w:val="24"/>
          <w:szCs w:val="24"/>
        </w:rPr>
        <w:t>recorded</w:t>
      </w:r>
      <w:r>
        <w:rPr>
          <w:rFonts w:ascii="Times New Roman" w:hAnsi="Times New Roman" w:cs="Times New Roman"/>
          <w:sz w:val="24"/>
          <w:szCs w:val="24"/>
        </w:rPr>
        <w:t xml:space="preserve"> in the current profit and loss. Contingent rent</w:t>
      </w:r>
      <w:r>
        <w:rPr>
          <w:rFonts w:ascii="Times New Roman" w:hAnsi="Times New Roman" w:cs="Times New Roman" w:hint="eastAsia"/>
          <w:sz w:val="24"/>
          <w:szCs w:val="24"/>
        </w:rPr>
        <w:t>al expenses</w:t>
      </w:r>
      <w:r>
        <w:rPr>
          <w:rFonts w:ascii="Times New Roman" w:hAnsi="Times New Roman" w:cs="Times New Roman"/>
          <w:sz w:val="24"/>
          <w:szCs w:val="24"/>
        </w:rPr>
        <w:t xml:space="preserve"> are charged to profit or loss for the current period when they actually occur.</w:t>
      </w:r>
    </w:p>
    <w:p w:rsidR="000B609E" w:rsidRDefault="00B220E1">
      <w:pPr>
        <w:pStyle w:val="11"/>
        <w:numPr>
          <w:ilvl w:val="0"/>
          <w:numId w:val="15"/>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Group records the operating lease as a lessor</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Lease income from operating leases is recognized on a straight-line basis over the period of the lease, and </w:t>
      </w:r>
      <w:r>
        <w:rPr>
          <w:rFonts w:ascii="Times New Roman" w:hAnsi="Times New Roman" w:cs="Times New Roman" w:hint="eastAsia"/>
          <w:sz w:val="24"/>
          <w:szCs w:val="24"/>
        </w:rPr>
        <w:t>is</w:t>
      </w:r>
      <w:r>
        <w:rPr>
          <w:rFonts w:ascii="Times New Roman" w:hAnsi="Times New Roman" w:cs="Times New Roman"/>
          <w:sz w:val="24"/>
          <w:szCs w:val="24"/>
        </w:rPr>
        <w:t xml:space="preserve"> charged as an </w:t>
      </w:r>
      <w:r>
        <w:rPr>
          <w:rFonts w:ascii="Times New Roman" w:hAnsi="Times New Roman" w:cs="Times New Roman" w:hint="eastAsia"/>
          <w:sz w:val="24"/>
          <w:szCs w:val="24"/>
        </w:rPr>
        <w:t>income</w:t>
      </w:r>
      <w:r>
        <w:rPr>
          <w:rFonts w:ascii="Times New Roman" w:hAnsi="Times New Roman" w:cs="Times New Roman"/>
          <w:sz w:val="24"/>
          <w:szCs w:val="24"/>
        </w:rPr>
        <w:t xml:space="preserve"> for the current period. The initial direct costs </w:t>
      </w:r>
      <w:r>
        <w:rPr>
          <w:rFonts w:ascii="Times New Roman" w:hAnsi="Times New Roman" w:cs="Times New Roman" w:hint="eastAsia"/>
          <w:sz w:val="24"/>
          <w:szCs w:val="24"/>
        </w:rPr>
        <w:t>with</w:t>
      </w:r>
      <w:r>
        <w:rPr>
          <w:rFonts w:ascii="Times New Roman" w:hAnsi="Times New Roman" w:cs="Times New Roman"/>
          <w:sz w:val="24"/>
          <w:szCs w:val="24"/>
        </w:rPr>
        <w:t xml:space="preserve"> a relatively large amount are capitalized when they occur, and are charged to the profit or loss for the current period on the same basis as the recognized rental income over the entire lease period; other initial direct costs </w:t>
      </w:r>
      <w:r>
        <w:rPr>
          <w:rFonts w:ascii="Times New Roman" w:hAnsi="Times New Roman" w:cs="Times New Roman" w:hint="eastAsia"/>
          <w:sz w:val="24"/>
          <w:szCs w:val="24"/>
        </w:rPr>
        <w:t>with small</w:t>
      </w:r>
      <w:r>
        <w:rPr>
          <w:rFonts w:ascii="Times New Roman" w:hAnsi="Times New Roman" w:cs="Times New Roman"/>
          <w:sz w:val="24"/>
          <w:szCs w:val="24"/>
        </w:rPr>
        <w:t xml:space="preserve"> amount are charged to profit or loss for the current period. Contingent rents are charged to profit or loss for the current period when they actually occur.</w:t>
      </w:r>
    </w:p>
    <w:p w:rsidR="000B609E" w:rsidRDefault="00B220E1">
      <w:pPr>
        <w:pStyle w:val="11"/>
        <w:numPr>
          <w:ilvl w:val="0"/>
          <w:numId w:val="15"/>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Group records the financial leasing business as a lessee</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At the beginning of the lease term, the lower of the fair value of the leased asset at the lease commencement date and the current value of the minimum lease payment is </w:t>
      </w:r>
      <w:r>
        <w:rPr>
          <w:rFonts w:ascii="Times New Roman" w:hAnsi="Times New Roman" w:cs="Times New Roman" w:hint="eastAsia"/>
          <w:sz w:val="24"/>
          <w:szCs w:val="24"/>
        </w:rPr>
        <w:t>recorded</w:t>
      </w:r>
      <w:r>
        <w:rPr>
          <w:rFonts w:ascii="Times New Roman" w:hAnsi="Times New Roman" w:cs="Times New Roman"/>
          <w:sz w:val="24"/>
          <w:szCs w:val="24"/>
        </w:rPr>
        <w:t xml:space="preserve"> as the</w:t>
      </w:r>
      <w:r>
        <w:rPr>
          <w:rFonts w:ascii="Times New Roman" w:hAnsi="Times New Roman" w:cs="Times New Roman" w:hint="eastAsia"/>
          <w:sz w:val="24"/>
          <w:szCs w:val="24"/>
        </w:rPr>
        <w:t xml:space="preserve"> book</w:t>
      </w:r>
      <w:r>
        <w:rPr>
          <w:rFonts w:ascii="Times New Roman" w:hAnsi="Times New Roman" w:cs="Times New Roman"/>
          <w:sz w:val="24"/>
          <w:szCs w:val="24"/>
        </w:rPr>
        <w:t xml:space="preserve"> value of the leased asset</w:t>
      </w:r>
      <w:r>
        <w:rPr>
          <w:rFonts w:ascii="Times New Roman" w:hAnsi="Times New Roman" w:cs="Times New Roman" w:hint="eastAsia"/>
          <w:sz w:val="24"/>
          <w:szCs w:val="24"/>
        </w:rPr>
        <w:t>;</w:t>
      </w:r>
      <w:r>
        <w:rPr>
          <w:rFonts w:ascii="Times New Roman" w:hAnsi="Times New Roman" w:cs="Times New Roman"/>
          <w:sz w:val="24"/>
          <w:szCs w:val="24"/>
        </w:rPr>
        <w:t xml:space="preserve"> and the minimum lease payment </w:t>
      </w:r>
      <w:r>
        <w:rPr>
          <w:rFonts w:ascii="Times New Roman" w:hAnsi="Times New Roman" w:cs="Times New Roman"/>
          <w:sz w:val="24"/>
          <w:szCs w:val="24"/>
        </w:rPr>
        <w:lastRenderedPageBreak/>
        <w:t xml:space="preserve">amount is taken as the </w:t>
      </w:r>
      <w:r>
        <w:rPr>
          <w:rFonts w:ascii="Times New Roman" w:hAnsi="Times New Roman" w:cs="Times New Roman" w:hint="eastAsia"/>
          <w:sz w:val="24"/>
          <w:szCs w:val="24"/>
        </w:rPr>
        <w:t>book</w:t>
      </w:r>
      <w:r>
        <w:rPr>
          <w:rFonts w:ascii="Times New Roman" w:hAnsi="Times New Roman" w:cs="Times New Roman"/>
          <w:sz w:val="24"/>
          <w:szCs w:val="24"/>
        </w:rPr>
        <w:t xml:space="preserve"> value of the long-term payable</w:t>
      </w:r>
      <w:r>
        <w:rPr>
          <w:rFonts w:ascii="Times New Roman" w:hAnsi="Times New Roman" w:cs="Times New Roman" w:hint="eastAsia"/>
          <w:sz w:val="24"/>
          <w:szCs w:val="24"/>
        </w:rPr>
        <w:t>.</w:t>
      </w:r>
      <w:r>
        <w:rPr>
          <w:rFonts w:ascii="Times New Roman" w:hAnsi="Times New Roman" w:cs="Times New Roman"/>
          <w:sz w:val="24"/>
          <w:szCs w:val="24"/>
        </w:rPr>
        <w:t xml:space="preserve"> The difference is</w:t>
      </w:r>
      <w:r>
        <w:rPr>
          <w:rFonts w:ascii="Times New Roman" w:hAnsi="Times New Roman" w:cs="Times New Roman" w:hint="eastAsia"/>
          <w:sz w:val="24"/>
          <w:szCs w:val="24"/>
        </w:rPr>
        <w:t xml:space="preserve"> recorded as</w:t>
      </w:r>
      <w:r>
        <w:rPr>
          <w:rFonts w:ascii="Times New Roman" w:hAnsi="Times New Roman" w:cs="Times New Roman"/>
          <w:sz w:val="24"/>
          <w:szCs w:val="24"/>
        </w:rPr>
        <w:t xml:space="preserve"> the unrecognized financing expense. In addition, the initial direct costs attributable to the lease item that occurred during the lease negotiation and signing of the lease contract is also </w:t>
      </w:r>
      <w:r>
        <w:rPr>
          <w:rFonts w:ascii="Times New Roman" w:hAnsi="Times New Roman" w:cs="Times New Roman" w:hint="eastAsia"/>
          <w:sz w:val="24"/>
          <w:szCs w:val="24"/>
        </w:rPr>
        <w:t>charged to</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book </w:t>
      </w:r>
      <w:r>
        <w:rPr>
          <w:rFonts w:ascii="Times New Roman" w:hAnsi="Times New Roman" w:cs="Times New Roman"/>
          <w:sz w:val="24"/>
          <w:szCs w:val="24"/>
        </w:rPr>
        <w:t xml:space="preserve">value of the leased asset. The balance of the minimum lease payments after deducting the unrecognized financing charges is </w:t>
      </w:r>
      <w:r>
        <w:rPr>
          <w:rFonts w:ascii="Times New Roman" w:hAnsi="Times New Roman" w:cs="Times New Roman" w:hint="eastAsia"/>
          <w:sz w:val="24"/>
          <w:szCs w:val="24"/>
        </w:rPr>
        <w:t>stated</w:t>
      </w:r>
      <w:r>
        <w:rPr>
          <w:rFonts w:ascii="Times New Roman" w:hAnsi="Times New Roman" w:cs="Times New Roman"/>
          <w:sz w:val="24"/>
          <w:szCs w:val="24"/>
        </w:rPr>
        <w:t xml:space="preserve"> as long-term liabilities and long-term liabilities due within one year respectively.</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unrecognized financing expenses are </w:t>
      </w:r>
      <w:r>
        <w:rPr>
          <w:rFonts w:ascii="Times New Roman" w:hAnsi="Times New Roman" w:cs="Times New Roman" w:hint="eastAsia"/>
          <w:sz w:val="24"/>
          <w:szCs w:val="24"/>
        </w:rPr>
        <w:t>recognized</w:t>
      </w:r>
      <w:r>
        <w:rPr>
          <w:rFonts w:ascii="Times New Roman" w:hAnsi="Times New Roman" w:cs="Times New Roman"/>
          <w:sz w:val="24"/>
          <w:szCs w:val="24"/>
        </w:rPr>
        <w:t xml:space="preserve"> </w:t>
      </w:r>
      <w:r>
        <w:rPr>
          <w:rFonts w:ascii="Times New Roman" w:hAnsi="Times New Roman" w:cs="Times New Roman" w:hint="eastAsia"/>
          <w:sz w:val="24"/>
          <w:szCs w:val="24"/>
        </w:rPr>
        <w:t>under</w:t>
      </w:r>
      <w:r>
        <w:rPr>
          <w:rFonts w:ascii="Times New Roman" w:hAnsi="Times New Roman" w:cs="Times New Roman"/>
          <w:sz w:val="24"/>
          <w:szCs w:val="24"/>
        </w:rPr>
        <w:t xml:space="preserve"> the actual interest rate method during the lease period</w:t>
      </w:r>
      <w:r>
        <w:rPr>
          <w:rFonts w:ascii="Times New Roman" w:hAnsi="Times New Roman" w:cs="Times New Roman" w:hint="eastAsia"/>
          <w:sz w:val="24"/>
          <w:szCs w:val="24"/>
        </w:rPr>
        <w:t xml:space="preserve"> and recorded in the current financing expense</w:t>
      </w:r>
      <w:r>
        <w:rPr>
          <w:rFonts w:ascii="Times New Roman" w:hAnsi="Times New Roman" w:cs="Times New Roman"/>
          <w:sz w:val="24"/>
          <w:szCs w:val="24"/>
        </w:rPr>
        <w:t xml:space="preserve">. Contingent rents are charged to profit or loss for the current period when </w:t>
      </w:r>
      <w:r>
        <w:rPr>
          <w:rFonts w:ascii="Times New Roman" w:hAnsi="Times New Roman" w:cs="Times New Roman" w:hint="eastAsia"/>
          <w:sz w:val="24"/>
          <w:szCs w:val="24"/>
        </w:rPr>
        <w:t xml:space="preserve">they actually </w:t>
      </w:r>
      <w:r>
        <w:rPr>
          <w:rFonts w:ascii="Times New Roman" w:hAnsi="Times New Roman" w:cs="Times New Roman"/>
          <w:sz w:val="24"/>
          <w:szCs w:val="24"/>
        </w:rPr>
        <w:t>occur</w:t>
      </w:r>
      <w:r>
        <w:rPr>
          <w:rFonts w:ascii="Times New Roman" w:hAnsi="Times New Roman" w:cs="Times New Roman" w:hint="eastAsia"/>
          <w:sz w:val="24"/>
          <w:szCs w:val="24"/>
        </w:rPr>
        <w:t>.</w:t>
      </w:r>
    </w:p>
    <w:p w:rsidR="000B609E" w:rsidRDefault="00B220E1">
      <w:pPr>
        <w:pStyle w:val="11"/>
        <w:numPr>
          <w:ilvl w:val="0"/>
          <w:numId w:val="15"/>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Group records financial leasing business</w:t>
      </w:r>
      <w:r>
        <w:rPr>
          <w:rFonts w:ascii="Times New Roman" w:hAnsi="Times New Roman" w:cs="Times New Roman" w:hint="eastAsia"/>
          <w:sz w:val="24"/>
          <w:szCs w:val="24"/>
        </w:rPr>
        <w:t xml:space="preserve"> </w:t>
      </w:r>
      <w:r>
        <w:rPr>
          <w:rFonts w:ascii="Times New Roman" w:hAnsi="Times New Roman" w:cs="Times New Roman"/>
          <w:sz w:val="24"/>
          <w:szCs w:val="24"/>
        </w:rPr>
        <w:t>as a lessor</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At the beginning of the lease term, the sum of the minimum lease receipt amount and the initial direct cost at the beginning of the lease period shall be taken as the book value of the finance lease receivable, and the unguaranteed residual value shall be recorded; </w:t>
      </w:r>
      <w:r>
        <w:rPr>
          <w:rFonts w:ascii="Times New Roman" w:hAnsi="Times New Roman" w:cs="Times New Roman" w:hint="eastAsia"/>
          <w:sz w:val="24"/>
          <w:szCs w:val="24"/>
        </w:rPr>
        <w:t xml:space="preserve">The </w:t>
      </w:r>
      <w:r>
        <w:rPr>
          <w:rFonts w:ascii="Times New Roman" w:hAnsi="Times New Roman" w:cs="Times New Roman"/>
          <w:sz w:val="24"/>
          <w:szCs w:val="24"/>
        </w:rPr>
        <w:t>diffidence</w:t>
      </w:r>
      <w:r>
        <w:rPr>
          <w:rFonts w:ascii="Times New Roman" w:hAnsi="Times New Roman" w:cs="Times New Roman" w:hint="eastAsia"/>
          <w:sz w:val="24"/>
          <w:szCs w:val="24"/>
        </w:rPr>
        <w:t xml:space="preserve"> between </w:t>
      </w:r>
      <w:r>
        <w:rPr>
          <w:rFonts w:ascii="Times New Roman" w:hAnsi="Times New Roman" w:cs="Times New Roman"/>
          <w:sz w:val="24"/>
          <w:szCs w:val="24"/>
        </w:rPr>
        <w:t xml:space="preserve">book value of the finance lease and </w:t>
      </w:r>
      <w:r>
        <w:rPr>
          <w:rFonts w:ascii="Times New Roman" w:hAnsi="Times New Roman" w:cs="Times New Roman" w:hint="eastAsia"/>
          <w:sz w:val="24"/>
          <w:szCs w:val="24"/>
        </w:rPr>
        <w:t xml:space="preserve">the sum of </w:t>
      </w:r>
      <w:r>
        <w:rPr>
          <w:rFonts w:ascii="Times New Roman" w:hAnsi="Times New Roman" w:cs="Times New Roman"/>
          <w:sz w:val="24"/>
          <w:szCs w:val="24"/>
        </w:rPr>
        <w:t xml:space="preserve">its present value is recognized as unrecognized financing income. The balance of financial lease receivables after deducting unrecognized financing income is </w:t>
      </w:r>
      <w:r>
        <w:rPr>
          <w:rFonts w:ascii="Times New Roman" w:hAnsi="Times New Roman" w:cs="Times New Roman" w:hint="eastAsia"/>
          <w:sz w:val="24"/>
          <w:szCs w:val="24"/>
        </w:rPr>
        <w:t>stated</w:t>
      </w:r>
      <w:r>
        <w:rPr>
          <w:rFonts w:ascii="Times New Roman" w:hAnsi="Times New Roman" w:cs="Times New Roman"/>
          <w:sz w:val="24"/>
          <w:szCs w:val="24"/>
        </w:rPr>
        <w:t xml:space="preserve"> </w:t>
      </w:r>
      <w:r>
        <w:rPr>
          <w:rFonts w:ascii="Times New Roman" w:hAnsi="Times New Roman" w:cs="Times New Roman" w:hint="eastAsia"/>
          <w:sz w:val="24"/>
          <w:szCs w:val="24"/>
        </w:rPr>
        <w:t>as</w:t>
      </w:r>
      <w:r>
        <w:rPr>
          <w:rFonts w:ascii="Times New Roman" w:hAnsi="Times New Roman" w:cs="Times New Roman"/>
          <w:sz w:val="24"/>
          <w:szCs w:val="24"/>
        </w:rPr>
        <w:t xml:space="preserve"> long-term claims and long-term claims due within one year.</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unrecognized financing income is </w:t>
      </w:r>
      <w:r>
        <w:rPr>
          <w:rFonts w:ascii="Times New Roman" w:hAnsi="Times New Roman" w:cs="Times New Roman" w:hint="eastAsia"/>
          <w:sz w:val="24"/>
          <w:szCs w:val="24"/>
        </w:rPr>
        <w:t>recognized</w:t>
      </w:r>
      <w:r>
        <w:rPr>
          <w:rFonts w:ascii="Times New Roman" w:hAnsi="Times New Roman" w:cs="Times New Roman"/>
          <w:sz w:val="24"/>
          <w:szCs w:val="24"/>
        </w:rPr>
        <w:t xml:space="preserve"> </w:t>
      </w:r>
      <w:r>
        <w:rPr>
          <w:rFonts w:ascii="Times New Roman" w:hAnsi="Times New Roman" w:cs="Times New Roman" w:hint="eastAsia"/>
          <w:sz w:val="24"/>
          <w:szCs w:val="24"/>
        </w:rPr>
        <w:t>under the</w:t>
      </w:r>
      <w:r>
        <w:rPr>
          <w:rFonts w:ascii="Times New Roman" w:hAnsi="Times New Roman" w:cs="Times New Roman"/>
          <w:sz w:val="24"/>
          <w:szCs w:val="24"/>
        </w:rPr>
        <w:t xml:space="preserve"> actual interest rate method during the lease </w:t>
      </w:r>
      <w:r>
        <w:rPr>
          <w:rFonts w:ascii="Times New Roman" w:hAnsi="Times New Roman" w:cs="Times New Roman" w:hint="eastAsia"/>
          <w:sz w:val="24"/>
          <w:szCs w:val="24"/>
        </w:rPr>
        <w:t>period and record in the current financing income</w:t>
      </w:r>
      <w:r>
        <w:rPr>
          <w:rFonts w:ascii="Times New Roman" w:hAnsi="Times New Roman" w:cs="Times New Roman"/>
          <w:sz w:val="24"/>
          <w:szCs w:val="24"/>
        </w:rPr>
        <w:t>. Contingent rents are charged to profit or loss for the current period when they actually occur.</w:t>
      </w:r>
      <w:r>
        <w:rPr>
          <w:rFonts w:ascii="Times New Roman" w:hAnsi="Times New Roman" w:cs="Times New Roman" w:hint="eastAsia"/>
          <w:sz w:val="24"/>
          <w:szCs w:val="24"/>
        </w:rPr>
        <w:t xml:space="preserve"> </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27. Fiduciary activities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Group acts as an agent to safeguard assets for customers, which are not recognized in the Group’s balance sheet. The Group receives fees in return for its </w:t>
      </w:r>
      <w:r>
        <w:rPr>
          <w:rFonts w:ascii="Times New Roman" w:hAnsi="Times New Roman" w:cs="Times New Roman"/>
          <w:sz w:val="24"/>
          <w:szCs w:val="24"/>
        </w:rPr>
        <w:lastRenderedPageBreak/>
        <w:t>services provided under the custody agreements and does not have any interest in the economic risks and rewards related to assets under custody.</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also operates entrusted loans business. Under the terms of entrusted loan arrangements, the Group grants loans to borrowers, as an intermediary, according to the instruction of its customers who are the lenders providing the entrusted loans. The Group is responsible for the arrangement and collection of the entrusted loans and receives a commission for the services rendered. As the Group does not assume the economic risks and rewards of the entrusted loans and the funding for the corresponding entrusted funds. Entrusted loans are not recognized in the Group’s consolidated balance sheet.</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28. Contingent liability</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Contingent liability refers to the potential obligation formed by the transactions or items in the past. Its presence shall be proven by the occurrence or not of one or several uncertain items in the future not totally controlled by the bank. Contingent liability might also be the current obligations generated by the items in the past; however, the performance of the obligation is not probable to lead to the outflow of the economic interests or make the outflow of the economic interests unable to be measured. Contingent liability is not confirmed as the expected liabilities, but only disclosed in the notes. If any circumstance occurs, which makes the item probable to lead to the outflow of the economic interest, and the amount can be reliably measured, it shall be confirmed as the expected liability.</w:t>
      </w:r>
    </w:p>
    <w:p w:rsidR="000B609E" w:rsidRDefault="00B220E1">
      <w:pPr>
        <w:pStyle w:val="31"/>
        <w:spacing w:before="0"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29. Critical accounting estimates and judgments</w:t>
      </w:r>
    </w:p>
    <w:p w:rsidR="000B609E" w:rsidRDefault="00B220E1">
      <w:pPr>
        <w:autoSpaceDE w:val="0"/>
        <w:autoSpaceDN w:val="0"/>
        <w:adjustRightInd w:val="0"/>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preparation of financial statements requires management to make</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judgments and estimates. These judgments and estimates will affect the reporting of income, expenses, assets and liabilities, and the disclosure of contingent liabilities on the balance sheet date. However, because of the uncertainties of these estimated, the </w:t>
      </w:r>
      <w:r>
        <w:rPr>
          <w:rFonts w:ascii="Times New Roman" w:hAnsi="Times New Roman" w:cs="Times New Roman"/>
          <w:sz w:val="24"/>
          <w:szCs w:val="24"/>
        </w:rPr>
        <w:lastRenderedPageBreak/>
        <w:t>carrying amount of future assets or liabilities may be affected and need to make some significant adjustments.</w:t>
      </w:r>
    </w:p>
    <w:p w:rsidR="000B609E" w:rsidRDefault="00B220E1">
      <w:pPr>
        <w:autoSpaceDE w:val="0"/>
        <w:autoSpaceDN w:val="0"/>
        <w:adjustRightInd w:val="0"/>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In the process of implementing the Group's accounting policies, management has made the following judgments that have a significant impact on the amounts recognized in the financial statements:</w:t>
      </w:r>
    </w:p>
    <w:p w:rsidR="000B609E" w:rsidRDefault="00B220E1">
      <w:pPr>
        <w:autoSpaceDE w:val="0"/>
        <w:autoSpaceDN w:val="0"/>
        <w:adjustRightInd w:val="0"/>
        <w:spacing w:after="156" w:line="360" w:lineRule="auto"/>
        <w:ind w:firstLine="480"/>
        <w:rPr>
          <w:rFonts w:ascii="Times New Roman" w:hAnsi="Times New Roman" w:cs="Times New Roman"/>
          <w:sz w:val="24"/>
          <w:szCs w:val="24"/>
        </w:rPr>
      </w:pPr>
      <w:r>
        <w:rPr>
          <w:rFonts w:ascii="宋体" w:eastAsia="宋体" w:hAnsi="宋体" w:cs="宋体" w:hint="eastAsia"/>
          <w:sz w:val="24"/>
          <w:szCs w:val="24"/>
        </w:rPr>
        <w:t>①</w:t>
      </w:r>
      <w:r>
        <w:rPr>
          <w:rFonts w:ascii="Times New Roman" w:hAnsi="Times New Roman" w:cs="Times New Roman" w:hint="eastAsia"/>
          <w:sz w:val="24"/>
          <w:szCs w:val="24"/>
        </w:rPr>
        <w:t xml:space="preserve"> The classification of financial assets: When the Group decides the classification of financial assets, the relative significant judgments include the analysis of the contractual cash flow</w:t>
      </w:r>
      <w:r>
        <w:rPr>
          <w:rFonts w:ascii="Times New Roman" w:hAnsi="Times New Roman" w:cs="Times New Roman"/>
          <w:sz w:val="24"/>
          <w:szCs w:val="24"/>
        </w:rPr>
        <w:t>’</w:t>
      </w:r>
      <w:r>
        <w:rPr>
          <w:rFonts w:ascii="Times New Roman" w:hAnsi="Times New Roman" w:cs="Times New Roman" w:hint="eastAsia"/>
          <w:sz w:val="24"/>
          <w:szCs w:val="24"/>
        </w:rPr>
        <w:t>s characteristics, etc.</w:t>
      </w:r>
    </w:p>
    <w:p w:rsidR="000B609E" w:rsidRDefault="00B220E1">
      <w:pPr>
        <w:autoSpaceDE w:val="0"/>
        <w:autoSpaceDN w:val="0"/>
        <w:adjustRightInd w:val="0"/>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Group determines the business model for managing financial assets based on the level of financial assets portfolios, the elements should be considered including the method of assessing and report the performance of financial assets to the key management personnel, the risk that affect the performance of financial and the way for managing it, and the method that relative management personnel getting paid.</w:t>
      </w:r>
    </w:p>
    <w:p w:rsidR="000B609E" w:rsidRDefault="00B220E1">
      <w:pPr>
        <w:autoSpaceDE w:val="0"/>
        <w:autoSpaceDN w:val="0"/>
        <w:adjustRightInd w:val="0"/>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When assessing whether the contractual cash flow of financial assets is consistent with the basic borrowing arrangement, the Group has the following main judgments: whether because of prepayment or any other reasons, time distribution or amount occurs will be changed during the remained lifetime, whether the interest only includes the time value of money, credit risks, other basic lending risks and consideration of cost and profit. For example, if prepayment only reflects the unpaid principal and the interest based on it, and the reasonable compensation resulting from early termination of contract.</w:t>
      </w:r>
    </w:p>
    <w:p w:rsidR="000B609E" w:rsidRDefault="00B220E1">
      <w:pPr>
        <w:autoSpaceDE w:val="0"/>
        <w:autoSpaceDN w:val="0"/>
        <w:adjustRightInd w:val="0"/>
        <w:spacing w:after="156" w:line="360" w:lineRule="auto"/>
        <w:ind w:firstLine="480"/>
        <w:rPr>
          <w:rFonts w:ascii="Times New Roman" w:hAnsi="Times New Roman" w:cs="Times New Roman"/>
          <w:sz w:val="24"/>
          <w:szCs w:val="24"/>
        </w:rPr>
      </w:pPr>
      <w:r>
        <w:rPr>
          <w:rFonts w:ascii="宋体" w:eastAsia="宋体" w:hAnsi="宋体" w:cs="宋体" w:hint="eastAsia"/>
          <w:sz w:val="24"/>
          <w:szCs w:val="24"/>
        </w:rPr>
        <w:t xml:space="preserve">② </w:t>
      </w:r>
      <w:r>
        <w:rPr>
          <w:rFonts w:ascii="Times New Roman" w:hAnsi="Times New Roman" w:cs="Times New Roman" w:hint="eastAsia"/>
          <w:sz w:val="24"/>
          <w:szCs w:val="24"/>
        </w:rPr>
        <w:t xml:space="preserve">Operating lease: the Group has signed lease contracts for some properties. </w:t>
      </w:r>
      <w:r>
        <w:rPr>
          <w:rFonts w:ascii="Times New Roman" w:hAnsi="Times New Roman" w:cs="Times New Roman"/>
          <w:sz w:val="24"/>
          <w:szCs w:val="24"/>
        </w:rPr>
        <w:t>The Group believes that according to the terms of the lease contract, the Group retains all significant risks and rewards of ownership of these real estates</w:t>
      </w:r>
      <w:r>
        <w:rPr>
          <w:rFonts w:ascii="Times New Roman" w:hAnsi="Times New Roman" w:cs="Times New Roman" w:hint="eastAsia"/>
          <w:sz w:val="24"/>
          <w:szCs w:val="24"/>
        </w:rPr>
        <w:t xml:space="preserve">. </w:t>
      </w:r>
      <w:r>
        <w:rPr>
          <w:rFonts w:ascii="Times New Roman" w:hAnsi="Times New Roman" w:cs="Times New Roman"/>
          <w:sz w:val="24"/>
          <w:szCs w:val="24"/>
        </w:rPr>
        <w:t>Thus, these real estates are treated as operating leases.</w:t>
      </w:r>
      <w:r>
        <w:rPr>
          <w:rFonts w:ascii="Times New Roman" w:hAnsi="Times New Roman" w:cs="Times New Roman" w:hint="eastAsia"/>
          <w:sz w:val="24"/>
          <w:szCs w:val="24"/>
        </w:rPr>
        <w:t xml:space="preserve"> </w:t>
      </w:r>
    </w:p>
    <w:p w:rsidR="000B609E" w:rsidRDefault="00B220E1">
      <w:pPr>
        <w:autoSpaceDE w:val="0"/>
        <w:autoSpaceDN w:val="0"/>
        <w:adjustRightInd w:val="0"/>
        <w:spacing w:after="156" w:line="360" w:lineRule="auto"/>
        <w:ind w:firstLine="440"/>
        <w:rPr>
          <w:rFonts w:ascii="Times New Roman" w:hAnsi="Times New Roman" w:cs="Times New Roman"/>
          <w:sz w:val="24"/>
          <w:szCs w:val="24"/>
        </w:rPr>
      </w:pPr>
      <w:r>
        <w:rPr>
          <w:rFonts w:hint="eastAsia"/>
          <w:sz w:val="22"/>
        </w:rPr>
        <w:lastRenderedPageBreak/>
        <w:t xml:space="preserve"> </w:t>
      </w:r>
      <w:r>
        <w:rPr>
          <w:rFonts w:ascii="Times New Roman" w:hAnsi="Times New Roman" w:cs="Times New Roman"/>
          <w:sz w:val="24"/>
          <w:szCs w:val="24"/>
        </w:rPr>
        <w:t>(2)</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The following are the key assumptions about the future on the balance sheet date and other key sources of estimated uncertainty, which may result in significant adjustments to the carrying amounts of assets and liabilities in the next fiscal year:</w:t>
      </w:r>
    </w:p>
    <w:p w:rsidR="000B609E" w:rsidRDefault="00B220E1">
      <w:pPr>
        <w:autoSpaceDE w:val="0"/>
        <w:autoSpaceDN w:val="0"/>
        <w:adjustRightInd w:val="0"/>
        <w:spacing w:after="156" w:line="360" w:lineRule="auto"/>
        <w:ind w:firstLine="480"/>
        <w:rPr>
          <w:rFonts w:ascii="Times New Roman" w:hAnsi="Times New Roman" w:cs="Times New Roman"/>
          <w:sz w:val="24"/>
          <w:szCs w:val="24"/>
        </w:rPr>
      </w:pPr>
      <w:r>
        <w:rPr>
          <w:rFonts w:ascii="宋体" w:eastAsia="宋体" w:hAnsi="宋体" w:cs="宋体" w:hint="eastAsia"/>
          <w:sz w:val="24"/>
          <w:szCs w:val="24"/>
        </w:rPr>
        <w:t>①</w:t>
      </w:r>
      <w:r>
        <w:rPr>
          <w:rFonts w:ascii="Times New Roman" w:hAnsi="Times New Roman" w:cs="Times New Roman" w:hint="eastAsia"/>
          <w:sz w:val="24"/>
          <w:szCs w:val="24"/>
        </w:rPr>
        <w:t xml:space="preserve"> </w:t>
      </w:r>
      <w:r>
        <w:rPr>
          <w:rFonts w:ascii="Times New Roman" w:hAnsi="Times New Roman" w:cs="Times New Roman"/>
          <w:sz w:val="24"/>
          <w:szCs w:val="24"/>
        </w:rPr>
        <w:t>Measurement of expected credit losses</w:t>
      </w:r>
      <w:r>
        <w:rPr>
          <w:rFonts w:ascii="Times New Roman" w:hAnsi="Times New Roman" w:cs="Times New Roman" w:hint="eastAsia"/>
          <w:sz w:val="24"/>
          <w:szCs w:val="24"/>
        </w:rPr>
        <w:t xml:space="preserve"> (ECL): the Group uses the ECL model to measure impairment reserve for financial assets measured at amortized cost and fair value through the other comprehensive income. It involves the establishment and periodic review of key definitions, parameters and assumptions, such as the assumption of future macro-economic situation and borrowers</w:t>
      </w:r>
      <w:r>
        <w:rPr>
          <w:rFonts w:ascii="Times New Roman" w:hAnsi="Times New Roman" w:cs="Times New Roman"/>
          <w:sz w:val="24"/>
          <w:szCs w:val="24"/>
        </w:rPr>
        <w:t>’</w:t>
      </w:r>
      <w:r>
        <w:rPr>
          <w:rFonts w:ascii="Times New Roman" w:hAnsi="Times New Roman" w:cs="Times New Roman" w:hint="eastAsia"/>
          <w:sz w:val="24"/>
          <w:szCs w:val="24"/>
        </w:rPr>
        <w:t xml:space="preserve"> credit behaviors. The measurement of ECL includes many of significant judgments, for example, dividing the businesses that having similar credit risks into the same group, choosing the appropriate measurement model, and determining the key parameters related to the measurement. The criteria for significant increase in credit risks, default and credit impairment. Adoption of economic indicators, economic scenarios and their weights for forward-looking measurement. Management overlay adjustment for major uncertain factors not covered by the model. Phase III forecast of future cash flows of corporate loans and advances and debt investments. </w:t>
      </w:r>
    </w:p>
    <w:p w:rsidR="000B609E" w:rsidRDefault="00B220E1">
      <w:pPr>
        <w:autoSpaceDE w:val="0"/>
        <w:autoSpaceDN w:val="0"/>
        <w:adjustRightInd w:val="0"/>
        <w:spacing w:after="156" w:line="360" w:lineRule="auto"/>
        <w:ind w:firstLine="480"/>
        <w:rPr>
          <w:rFonts w:ascii="Times New Roman" w:hAnsi="Times New Roman" w:cs="Times New Roman"/>
          <w:sz w:val="24"/>
          <w:szCs w:val="24"/>
        </w:rPr>
      </w:pPr>
      <w:r>
        <w:rPr>
          <w:rFonts w:ascii="宋体" w:eastAsia="宋体" w:hAnsi="宋体" w:cs="宋体" w:hint="eastAsia"/>
          <w:sz w:val="24"/>
          <w:szCs w:val="24"/>
        </w:rPr>
        <w:t xml:space="preserve">② </w:t>
      </w:r>
      <w:r>
        <w:rPr>
          <w:rFonts w:ascii="Times New Roman" w:hAnsi="Times New Roman" w:cs="Times New Roman"/>
          <w:sz w:val="24"/>
          <w:szCs w:val="24"/>
        </w:rPr>
        <w:t>Fair value of financial instruments</w:t>
      </w:r>
      <w:r>
        <w:rPr>
          <w:rFonts w:ascii="Times New Roman" w:hAnsi="Times New Roman" w:cs="Times New Roman"/>
          <w:sz w:val="24"/>
          <w:szCs w:val="24"/>
        </w:rPr>
        <w:t>：</w:t>
      </w:r>
      <w:r>
        <w:rPr>
          <w:rFonts w:ascii="Times New Roman" w:hAnsi="Times New Roman" w:cs="Times New Roman"/>
          <w:sz w:val="24"/>
          <w:szCs w:val="24"/>
        </w:rPr>
        <w:t xml:space="preserve">The fair value of financial </w:t>
      </w:r>
      <w:r>
        <w:rPr>
          <w:rFonts w:ascii="Times New Roman" w:hAnsi="Times New Roman" w:cs="Times New Roman" w:hint="eastAsia"/>
          <w:sz w:val="24"/>
          <w:szCs w:val="24"/>
        </w:rPr>
        <w:t xml:space="preserve">    </w:t>
      </w:r>
      <w:r>
        <w:rPr>
          <w:rFonts w:ascii="Times New Roman" w:hAnsi="Times New Roman" w:cs="Times New Roman"/>
          <w:sz w:val="24"/>
          <w:szCs w:val="24"/>
        </w:rPr>
        <w:t>instruments</w:t>
      </w:r>
      <w:r>
        <w:rPr>
          <w:rFonts w:ascii="Times New Roman" w:hAnsi="Times New Roman" w:cs="Times New Roman" w:hint="eastAsia"/>
          <w:sz w:val="24"/>
          <w:szCs w:val="24"/>
        </w:rPr>
        <w:t xml:space="preserve"> </w:t>
      </w:r>
      <w:r>
        <w:rPr>
          <w:rFonts w:ascii="Times New Roman" w:hAnsi="Times New Roman" w:cs="Times New Roman"/>
          <w:sz w:val="24"/>
          <w:szCs w:val="24"/>
        </w:rPr>
        <w:t>that are not quoted in active markets are determined by using valuation technique. Valuation technique includes discounted cash flow analysis and others. The use of valuation technique require management to estimate the credit risk, market fluctuations and relevance of the Group and its counterpart</w:t>
      </w:r>
      <w:r>
        <w:rPr>
          <w:rFonts w:ascii="Times New Roman" w:hAnsi="Times New Roman" w:cs="Times New Roman" w:hint="eastAsia"/>
          <w:sz w:val="24"/>
          <w:szCs w:val="24"/>
        </w:rPr>
        <w:t xml:space="preserve">. </w:t>
      </w:r>
      <w:r>
        <w:rPr>
          <w:rFonts w:ascii="Times New Roman" w:hAnsi="Times New Roman" w:cs="Times New Roman"/>
          <w:sz w:val="24"/>
          <w:szCs w:val="24"/>
        </w:rPr>
        <w:t>Changes in assumptions about these factors could affect reported fair value of financial instruments.</w:t>
      </w:r>
    </w:p>
    <w:p w:rsidR="000B609E" w:rsidRDefault="00B220E1">
      <w:pPr>
        <w:autoSpaceDE w:val="0"/>
        <w:autoSpaceDN w:val="0"/>
        <w:adjustRightInd w:val="0"/>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③</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Income tax: Significant judgement is required from the Group in </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determining the provision for income taxes. There are many transactions and events for which the ultimate tax determination is uncertain during the ordinary course of business. In accordance with the current tax laws and regulations as well as the </w:t>
      </w:r>
      <w:r>
        <w:rPr>
          <w:rFonts w:ascii="Times New Roman" w:hAnsi="Times New Roman" w:cs="Times New Roman"/>
          <w:sz w:val="24"/>
          <w:szCs w:val="24"/>
        </w:rPr>
        <w:lastRenderedPageBreak/>
        <w:t>policies applicable to the Bank from competent government authorities in the previous years, the Bank make tax estimates on the implementation of new tax laws and regulations as well as events involving uncertainties in tax treatment. Where the final tax outcome of these matters is different from the amounts that were initially recorded, such differences will impact the income tax and deferred tax provisions in the period in which such determination is made.</w:t>
      </w:r>
    </w:p>
    <w:p w:rsidR="000B609E" w:rsidRDefault="00B220E1">
      <w:pPr>
        <w:autoSpaceDE w:val="0"/>
        <w:autoSpaceDN w:val="0"/>
        <w:adjustRightInd w:val="0"/>
        <w:spacing w:after="156" w:line="360" w:lineRule="auto"/>
        <w:ind w:firstLine="480"/>
        <w:rPr>
          <w:rFonts w:ascii="Times New Roman" w:hAnsi="Times New Roman" w:cs="Times New Roman"/>
          <w:sz w:val="24"/>
          <w:szCs w:val="24"/>
        </w:rPr>
      </w:pPr>
      <w:r>
        <w:rPr>
          <w:rFonts w:ascii="宋体" w:eastAsia="宋体" w:hAnsi="宋体" w:cs="宋体" w:hint="eastAsia"/>
          <w:sz w:val="24"/>
          <w:szCs w:val="24"/>
        </w:rPr>
        <w:t>④</w:t>
      </w:r>
      <w:r>
        <w:rPr>
          <w:rFonts w:ascii="Times New Roman" w:hAnsi="Times New Roman" w:cs="Times New Roman"/>
          <w:sz w:val="24"/>
          <w:szCs w:val="24"/>
        </w:rPr>
        <w:t xml:space="preserve"> Deferred income tax assets: The Group recognizes deferred income tax </w:t>
      </w:r>
      <w:r>
        <w:rPr>
          <w:rFonts w:ascii="Times New Roman" w:hAnsi="Times New Roman" w:cs="Times New Roman" w:hint="eastAsia"/>
          <w:sz w:val="24"/>
          <w:szCs w:val="24"/>
        </w:rPr>
        <w:t xml:space="preserve">  </w:t>
      </w:r>
      <w:r>
        <w:rPr>
          <w:rFonts w:ascii="Times New Roman" w:hAnsi="Times New Roman" w:cs="Times New Roman"/>
          <w:sz w:val="24"/>
          <w:szCs w:val="24"/>
        </w:rPr>
        <w:t>assets arising from deductible temporary differences to the extent that it is probable that taxable profits will be available against which the deductible temporary differences can be utilized. On the balance sheet date, the Group reviews the book value of deferred income tax assets. If it is highly probable that sufficient taxable income will not be available to offset deferred income tax assets during the future period, the carrying amount of deferred income tax assets will be reduced. Therefore, the Group needs to make significant judgments on the tax treatment of related transactions in accordance with the relevant tax regulations and make a significant estimation of the possibility of obtaining sufficient taxable income to deduct deferred income tax assets.</w:t>
      </w:r>
    </w:p>
    <w:p w:rsidR="000B609E" w:rsidRDefault="00B220E1">
      <w:pPr>
        <w:autoSpaceDE w:val="0"/>
        <w:autoSpaceDN w:val="0"/>
        <w:adjustRightInd w:val="0"/>
        <w:spacing w:after="156" w:line="360" w:lineRule="auto"/>
        <w:ind w:firstLine="480"/>
        <w:rPr>
          <w:rFonts w:ascii="Times New Roman" w:hAnsi="Times New Roman" w:cs="Times New Roman"/>
          <w:sz w:val="24"/>
          <w:szCs w:val="24"/>
        </w:rPr>
      </w:pPr>
      <w:r>
        <w:rPr>
          <w:rFonts w:ascii="宋体" w:eastAsia="宋体" w:hAnsi="宋体" w:cs="宋体" w:hint="eastAsia"/>
          <w:sz w:val="24"/>
          <w:szCs w:val="24"/>
        </w:rPr>
        <w:t xml:space="preserve">⑤ </w:t>
      </w:r>
      <w:r>
        <w:rPr>
          <w:rFonts w:ascii="Times New Roman" w:hAnsi="Times New Roman" w:cs="Times New Roman" w:hint="eastAsia"/>
          <w:sz w:val="24"/>
          <w:szCs w:val="24"/>
        </w:rPr>
        <w:t>Depreciation and amortization of fixed and intangible assets: after considering the residual value of fixed and intangible assets, the Group accrues the depreciation and amortization within the service life. The group reviews the service life of these assets to determine the amount of depreciation and amortization in each reporting period. The service life is determined according to the past experience of similar assets and combining the expected change. If the previous estimation has significant change, the expense of depreciation and amortization will be adjusted during the future life.</w:t>
      </w:r>
    </w:p>
    <w:p w:rsidR="000B609E" w:rsidRDefault="00B220E1">
      <w:pPr>
        <w:autoSpaceDE w:val="0"/>
        <w:autoSpaceDN w:val="0"/>
        <w:adjustRightInd w:val="0"/>
        <w:spacing w:after="156" w:line="360" w:lineRule="auto"/>
        <w:ind w:firstLine="440"/>
        <w:rPr>
          <w:rFonts w:ascii="Times New Roman" w:hAnsi="Times New Roman" w:cs="Times New Roman"/>
          <w:sz w:val="24"/>
          <w:szCs w:val="24"/>
        </w:rPr>
      </w:pPr>
      <w:r>
        <w:rPr>
          <w:rFonts w:hint="eastAsia"/>
          <w:sz w:val="22"/>
        </w:rPr>
        <w:t>⑥</w:t>
      </w:r>
      <w:r>
        <w:rPr>
          <w:rFonts w:hint="eastAsia"/>
          <w:sz w:val="22"/>
        </w:rPr>
        <w:t xml:space="preserve"> </w:t>
      </w:r>
      <w:r>
        <w:rPr>
          <w:rFonts w:ascii="Times New Roman" w:hAnsi="Times New Roman" w:cs="Times New Roman" w:hint="eastAsia"/>
          <w:sz w:val="24"/>
          <w:szCs w:val="24"/>
        </w:rPr>
        <w:t xml:space="preserve">Defined benefit plans: the Group has recognized other long-term benefit plans and supplementary retirement benefits for retired employees corresponding to the </w:t>
      </w:r>
      <w:r>
        <w:rPr>
          <w:rFonts w:ascii="Times New Roman" w:hAnsi="Times New Roman" w:cs="Times New Roman" w:hint="eastAsia"/>
          <w:sz w:val="24"/>
          <w:szCs w:val="24"/>
        </w:rPr>
        <w:lastRenderedPageBreak/>
        <w:t xml:space="preserve">defined benefit plan as a liability. The expense of this kind of welfare fee and the amount of this liability are based on the various assumptions. These assumptions include discount rate, inflation rate and mortality rate. When making these assumptions, managers need to make significant estimations. The changes of estimations would affect the expense of welfare fee and residual value of liability related to the defined benefit plans. </w:t>
      </w:r>
    </w:p>
    <w:p w:rsidR="000B609E" w:rsidRDefault="00B220E1">
      <w:pPr>
        <w:autoSpaceDE w:val="0"/>
        <w:autoSpaceDN w:val="0"/>
        <w:adjustRightInd w:val="0"/>
        <w:spacing w:after="156" w:line="360" w:lineRule="auto"/>
        <w:ind w:firstLine="440"/>
        <w:rPr>
          <w:rFonts w:ascii="Times New Roman" w:hAnsi="Times New Roman" w:cs="Times New Roman"/>
          <w:sz w:val="24"/>
          <w:szCs w:val="24"/>
        </w:rPr>
      </w:pPr>
      <w:r>
        <w:rPr>
          <w:rFonts w:hint="eastAsia"/>
          <w:sz w:val="22"/>
        </w:rPr>
        <w:t>⑦</w:t>
      </w:r>
      <w:r>
        <w:rPr>
          <w:rFonts w:hint="eastAsia"/>
          <w:sz w:val="22"/>
        </w:rPr>
        <w:t xml:space="preserve"> </w:t>
      </w:r>
      <w:r>
        <w:rPr>
          <w:rFonts w:ascii="Times New Roman" w:hAnsi="Times New Roman" w:cs="Times New Roman" w:hint="eastAsia"/>
          <w:sz w:val="24"/>
          <w:szCs w:val="24"/>
        </w:rPr>
        <w:t>Merger</w:t>
      </w:r>
      <w:r>
        <w:rPr>
          <w:rFonts w:ascii="Times New Roman" w:hAnsi="Times New Roman" w:cs="Times New Roman"/>
          <w:sz w:val="24"/>
          <w:szCs w:val="24"/>
        </w:rPr>
        <w:t xml:space="preserve"> of structured entities</w:t>
      </w:r>
      <w:r>
        <w:rPr>
          <w:rFonts w:ascii="Times New Roman" w:hAnsi="Times New Roman" w:cs="Times New Roman" w:hint="eastAsia"/>
          <w:sz w:val="24"/>
          <w:szCs w:val="24"/>
        </w:rPr>
        <w:t>：</w:t>
      </w:r>
      <w:r>
        <w:rPr>
          <w:rFonts w:ascii="Times New Roman" w:hAnsi="Times New Roman" w:cs="Times New Roman"/>
          <w:sz w:val="24"/>
          <w:szCs w:val="24"/>
        </w:rPr>
        <w:t xml:space="preserve">When the Group acts as an asset manager or as an investor in a structured entity, the Group needs to make significant judgments regarding whether to control the structured entity and </w:t>
      </w:r>
      <w:r>
        <w:rPr>
          <w:rFonts w:ascii="Times New Roman" w:hAnsi="Times New Roman" w:cs="Times New Roman" w:hint="eastAsia"/>
          <w:sz w:val="24"/>
          <w:szCs w:val="24"/>
        </w:rPr>
        <w:t>add</w:t>
      </w:r>
      <w:r>
        <w:rPr>
          <w:rFonts w:ascii="Times New Roman" w:hAnsi="Times New Roman" w:cs="Times New Roman"/>
          <w:sz w:val="24"/>
          <w:szCs w:val="24"/>
        </w:rPr>
        <w:t xml:space="preserve"> it in the scope of consolidation.</w:t>
      </w:r>
      <w:r>
        <w:rPr>
          <w:rFonts w:ascii="Times New Roman" w:hAnsi="Times New Roman" w:cs="Times New Roman" w:hint="eastAsia"/>
          <w:sz w:val="24"/>
          <w:szCs w:val="24"/>
        </w:rPr>
        <w:t xml:space="preserve"> </w:t>
      </w:r>
      <w:r>
        <w:rPr>
          <w:rFonts w:ascii="Times New Roman" w:hAnsi="Times New Roman" w:cs="Times New Roman"/>
          <w:sz w:val="24"/>
          <w:szCs w:val="24"/>
        </w:rPr>
        <w:t>The Group evaluate</w:t>
      </w:r>
      <w:r>
        <w:rPr>
          <w:rFonts w:ascii="Times New Roman" w:hAnsi="Times New Roman" w:cs="Times New Roman" w:hint="eastAsia"/>
          <w:sz w:val="24"/>
          <w:szCs w:val="24"/>
        </w:rPr>
        <w:t>s</w:t>
      </w:r>
      <w:r>
        <w:rPr>
          <w:rFonts w:ascii="Times New Roman" w:hAnsi="Times New Roman" w:cs="Times New Roman"/>
          <w:sz w:val="24"/>
          <w:szCs w:val="24"/>
        </w:rPr>
        <w:t xml:space="preserve"> the rights and obligations</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under the transaction structure and </w:t>
      </w:r>
      <w:r>
        <w:rPr>
          <w:rFonts w:ascii="Times New Roman" w:hAnsi="Times New Roman" w:cs="Times New Roman" w:hint="eastAsia"/>
          <w:sz w:val="24"/>
          <w:szCs w:val="24"/>
        </w:rPr>
        <w:t xml:space="preserve">its </w:t>
      </w:r>
      <w:r>
        <w:rPr>
          <w:rFonts w:ascii="Times New Roman" w:hAnsi="Times New Roman" w:cs="Times New Roman"/>
          <w:sz w:val="24"/>
          <w:szCs w:val="24"/>
        </w:rPr>
        <w:t>influence</w:t>
      </w:r>
      <w:r>
        <w:rPr>
          <w:rFonts w:ascii="Times New Roman" w:hAnsi="Times New Roman" w:cs="Times New Roman" w:hint="eastAsia"/>
          <w:sz w:val="24"/>
          <w:szCs w:val="24"/>
        </w:rPr>
        <w:t xml:space="preserve"> in</w:t>
      </w:r>
      <w:r>
        <w:rPr>
          <w:rFonts w:ascii="Times New Roman" w:hAnsi="Times New Roman" w:cs="Times New Roman"/>
          <w:sz w:val="24"/>
          <w:szCs w:val="24"/>
        </w:rPr>
        <w:t xml:space="preserve"> the structured entity, analyz</w:t>
      </w:r>
      <w:r>
        <w:rPr>
          <w:rFonts w:ascii="Times New Roman" w:hAnsi="Times New Roman" w:cs="Times New Roman" w:hint="eastAsia"/>
          <w:sz w:val="24"/>
          <w:szCs w:val="24"/>
        </w:rPr>
        <w:t>es</w:t>
      </w:r>
      <w:r>
        <w:rPr>
          <w:rFonts w:ascii="Times New Roman" w:hAnsi="Times New Roman" w:cs="Times New Roman"/>
          <w:sz w:val="24"/>
          <w:szCs w:val="24"/>
        </w:rPr>
        <w:t xml:space="preserve"> and test</w:t>
      </w:r>
      <w:r>
        <w:rPr>
          <w:rFonts w:ascii="Times New Roman" w:hAnsi="Times New Roman" w:cs="Times New Roman" w:hint="eastAsia"/>
          <w:sz w:val="24"/>
          <w:szCs w:val="24"/>
        </w:rPr>
        <w:t>s</w:t>
      </w:r>
      <w:r>
        <w:rPr>
          <w:rFonts w:ascii="Times New Roman" w:hAnsi="Times New Roman" w:cs="Times New Roman"/>
          <w:sz w:val="24"/>
          <w:szCs w:val="24"/>
        </w:rPr>
        <w:t xml:space="preserve"> the variable returns of structured entities, including but not limited to the fee income and asset management fees obtained as asset managers</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t</w:t>
      </w:r>
      <w:r>
        <w:rPr>
          <w:rFonts w:ascii="Times New Roman" w:hAnsi="Times New Roman" w:cs="Times New Roman"/>
          <w:sz w:val="24"/>
          <w:szCs w:val="24"/>
        </w:rPr>
        <w:t>he retained residual income, etc., and whether it provides liquidity support or other support to structured entities</w:t>
      </w:r>
      <w:r>
        <w:rPr>
          <w:rFonts w:ascii="Times New Roman" w:hAnsi="Times New Roman" w:cs="Times New Roman" w:hint="eastAsia"/>
          <w:sz w:val="24"/>
          <w:szCs w:val="24"/>
        </w:rPr>
        <w:t>. Meanwhile, t</w:t>
      </w:r>
      <w:r>
        <w:rPr>
          <w:rFonts w:ascii="Times New Roman" w:hAnsi="Times New Roman" w:cs="Times New Roman"/>
          <w:sz w:val="24"/>
          <w:szCs w:val="24"/>
        </w:rPr>
        <w:t>he Group</w:t>
      </w:r>
      <w:r>
        <w:rPr>
          <w:rFonts w:ascii="Times New Roman" w:hAnsi="Times New Roman" w:cs="Times New Roman" w:hint="eastAsia"/>
          <w:sz w:val="24"/>
          <w:szCs w:val="24"/>
        </w:rPr>
        <w:t xml:space="preserve"> will</w:t>
      </w:r>
      <w:r>
        <w:rPr>
          <w:rFonts w:ascii="Times New Roman" w:hAnsi="Times New Roman" w:cs="Times New Roman"/>
          <w:sz w:val="24"/>
          <w:szCs w:val="24"/>
        </w:rPr>
        <w:t xml:space="preserve"> determine whether it is an agent or a principle in relation to those structured entities</w:t>
      </w:r>
      <w:r>
        <w:rPr>
          <w:rFonts w:ascii="Times New Roman" w:hAnsi="Times New Roman" w:cs="Times New Roman" w:hint="eastAsia"/>
          <w:sz w:val="24"/>
          <w:szCs w:val="24"/>
        </w:rPr>
        <w:t xml:space="preserve"> by the following: a</w:t>
      </w:r>
      <w:r>
        <w:rPr>
          <w:rFonts w:ascii="Times New Roman" w:hAnsi="Times New Roman" w:cs="Times New Roman"/>
          <w:sz w:val="24"/>
          <w:szCs w:val="24"/>
        </w:rPr>
        <w:t>nalyz</w:t>
      </w:r>
      <w:r>
        <w:rPr>
          <w:rFonts w:ascii="Times New Roman" w:hAnsi="Times New Roman" w:cs="Times New Roman" w:hint="eastAsia"/>
          <w:sz w:val="24"/>
          <w:szCs w:val="24"/>
        </w:rPr>
        <w:t>ing</w:t>
      </w:r>
      <w:r>
        <w:rPr>
          <w:rFonts w:ascii="Times New Roman" w:hAnsi="Times New Roman" w:cs="Times New Roman"/>
          <w:sz w:val="24"/>
          <w:szCs w:val="24"/>
        </w:rPr>
        <w:t xml:space="preserve"> and evaluat</w:t>
      </w:r>
      <w:r>
        <w:rPr>
          <w:rFonts w:ascii="Times New Roman" w:hAnsi="Times New Roman" w:cs="Times New Roman" w:hint="eastAsia"/>
          <w:sz w:val="24"/>
          <w:szCs w:val="24"/>
        </w:rPr>
        <w:t>ing</w:t>
      </w:r>
      <w:r>
        <w:rPr>
          <w:rFonts w:ascii="Times New Roman" w:hAnsi="Times New Roman" w:cs="Times New Roman"/>
          <w:sz w:val="24"/>
          <w:szCs w:val="24"/>
        </w:rPr>
        <w:t xml:space="preserve"> the scope of </w:t>
      </w:r>
      <w:r>
        <w:rPr>
          <w:rFonts w:ascii="Times New Roman" w:hAnsi="Times New Roman" w:cs="Times New Roman" w:hint="eastAsia"/>
          <w:sz w:val="24"/>
          <w:szCs w:val="24"/>
        </w:rPr>
        <w:t>its</w:t>
      </w:r>
      <w:r>
        <w:rPr>
          <w:rFonts w:ascii="Times New Roman" w:hAnsi="Times New Roman" w:cs="Times New Roman"/>
          <w:sz w:val="24"/>
          <w:szCs w:val="24"/>
        </w:rPr>
        <w:t xml:space="preserve"> decision-making right </w:t>
      </w:r>
      <w:r>
        <w:rPr>
          <w:rFonts w:ascii="Times New Roman" w:hAnsi="Times New Roman" w:cs="Times New Roman" w:hint="eastAsia"/>
          <w:sz w:val="24"/>
          <w:szCs w:val="24"/>
        </w:rPr>
        <w:t>in</w:t>
      </w:r>
      <w:r>
        <w:rPr>
          <w:rFonts w:ascii="Times New Roman" w:hAnsi="Times New Roman" w:cs="Times New Roman"/>
          <w:sz w:val="24"/>
          <w:szCs w:val="24"/>
        </w:rPr>
        <w:t xml:space="preserve"> the structured entity</w:t>
      </w:r>
      <w:r>
        <w:rPr>
          <w:rFonts w:ascii="Times New Roman" w:hAnsi="Times New Roman" w:cs="Times New Roman" w:hint="eastAsia"/>
          <w:sz w:val="24"/>
          <w:szCs w:val="24"/>
        </w:rPr>
        <w:t>,</w:t>
      </w:r>
      <w:r>
        <w:rPr>
          <w:rFonts w:ascii="Times New Roman" w:hAnsi="Times New Roman" w:cs="Times New Roman"/>
          <w:sz w:val="24"/>
          <w:szCs w:val="24"/>
        </w:rPr>
        <w:t xml:space="preserve"> the remuneration level of the asset management services</w:t>
      </w:r>
      <w:r>
        <w:rPr>
          <w:rFonts w:ascii="Times New Roman" w:hAnsi="Times New Roman" w:cs="Times New Roman" w:hint="eastAsia"/>
          <w:sz w:val="24"/>
          <w:szCs w:val="24"/>
        </w:rPr>
        <w:t>,</w:t>
      </w:r>
      <w:r>
        <w:rPr>
          <w:rFonts w:ascii="Times New Roman" w:hAnsi="Times New Roman" w:cs="Times New Roman"/>
          <w:sz w:val="24"/>
          <w:szCs w:val="24"/>
        </w:rPr>
        <w:t xml:space="preserve"> the risk of variable returns due to holding other interests in the structured entity and the substantive rights held by other participants.</w:t>
      </w:r>
    </w:p>
    <w:p w:rsidR="000B609E" w:rsidRPr="0049550A" w:rsidRDefault="00B220E1">
      <w:pPr>
        <w:pStyle w:val="31"/>
        <w:numPr>
          <w:ilvl w:val="0"/>
          <w:numId w:val="16"/>
        </w:numPr>
        <w:spacing w:before="0" w:afterLines="50" w:after="156" w:line="360" w:lineRule="auto"/>
        <w:ind w:firstLine="482"/>
        <w:rPr>
          <w:rFonts w:ascii="Times New Roman" w:hAnsi="Times New Roman" w:cs="Times New Roman"/>
          <w:sz w:val="24"/>
          <w:szCs w:val="24"/>
        </w:rPr>
      </w:pPr>
      <w:r w:rsidRPr="0049550A">
        <w:rPr>
          <w:rFonts w:ascii="Times New Roman" w:hAnsi="Times New Roman" w:cs="Times New Roman"/>
          <w:sz w:val="24"/>
          <w:szCs w:val="24"/>
        </w:rPr>
        <w:t>Changes in accounting policies and accounting estimates; and correction of accounting errors</w:t>
      </w:r>
    </w:p>
    <w:p w:rsidR="000B609E" w:rsidRDefault="00B220E1">
      <w:pPr>
        <w:pStyle w:val="11"/>
        <w:numPr>
          <w:ilvl w:val="0"/>
          <w:numId w:val="17"/>
        </w:numPr>
        <w:spacing w:after="156" w:line="360" w:lineRule="auto"/>
        <w:ind w:firstLineChars="0" w:firstLine="480"/>
        <w:rPr>
          <w:rFonts w:ascii="Times New Roman" w:hAnsi="Times New Roman" w:cs="Times New Roman"/>
          <w:sz w:val="24"/>
          <w:szCs w:val="24"/>
        </w:rPr>
      </w:pPr>
      <w:r>
        <w:rPr>
          <w:rFonts w:ascii="Times New Roman" w:hAnsi="Times New Roman" w:cs="Times New Roman" w:hint="eastAsia"/>
          <w:sz w:val="24"/>
          <w:szCs w:val="24"/>
        </w:rPr>
        <w:t>The significant changes in accounting policies</w:t>
      </w:r>
      <w:r>
        <w:rPr>
          <w:rFonts w:ascii="Times New Roman" w:hAnsi="Times New Roman" w:cs="Times New Roman"/>
          <w:sz w:val="24"/>
          <w:szCs w:val="24"/>
        </w:rPr>
        <w:t>:</w:t>
      </w:r>
    </w:p>
    <w:p w:rsidR="000B609E" w:rsidRDefault="00B220E1" w:rsidP="00264FC9">
      <w:pPr>
        <w:pStyle w:val="11"/>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w:t>
      </w:r>
      <w:r>
        <w:rPr>
          <w:rFonts w:ascii="Times New Roman" w:hAnsi="Times New Roman" w:cs="Times New Roman"/>
          <w:sz w:val="24"/>
          <w:szCs w:val="24"/>
        </w:rPr>
        <w:t>he group adopted the "Interpretation No. 13 of the Accounting Standards for Business Enterprises" issued by the Ministry of Finance on December 10, 2019, Accounting [2019] No. 21. This interpretation come into effect on January 1</w:t>
      </w:r>
      <w:r>
        <w:rPr>
          <w:rFonts w:ascii="Times New Roman" w:hAnsi="Times New Roman" w:cs="Times New Roman"/>
          <w:sz w:val="24"/>
          <w:szCs w:val="24"/>
          <w:vertAlign w:val="superscript"/>
        </w:rPr>
        <w:t>st</w:t>
      </w:r>
      <w:r>
        <w:rPr>
          <w:rFonts w:ascii="Times New Roman" w:hAnsi="Times New Roman" w:cs="Times New Roman"/>
          <w:sz w:val="24"/>
          <w:szCs w:val="24"/>
        </w:rPr>
        <w:t xml:space="preserve"> 2020, and did not require retrospective adjustment. The implementation of this interpretation has no significate effect on the financial statements of the group.</w:t>
      </w:r>
    </w:p>
    <w:p w:rsidR="000B609E" w:rsidRDefault="00B220E1">
      <w:pPr>
        <w:pStyle w:val="11"/>
        <w:numPr>
          <w:ilvl w:val="0"/>
          <w:numId w:val="17"/>
        </w:numPr>
        <w:spacing w:after="156" w:line="360" w:lineRule="auto"/>
        <w:ind w:firstLineChars="0"/>
        <w:rPr>
          <w:rFonts w:ascii="Times New Roman" w:hAnsi="Times New Roman" w:cs="Times New Roman"/>
          <w:sz w:val="24"/>
          <w:szCs w:val="24"/>
        </w:rPr>
      </w:pPr>
      <w:r>
        <w:rPr>
          <w:rFonts w:ascii="Times New Roman" w:hAnsi="Times New Roman" w:cs="Times New Roman"/>
          <w:sz w:val="24"/>
          <w:szCs w:val="24"/>
        </w:rPr>
        <w:lastRenderedPageBreak/>
        <w:t>Changes in accounting estimates</w:t>
      </w:r>
      <w:r>
        <w:rPr>
          <w:rFonts w:ascii="Times New Roman" w:hAnsi="Times New Roman" w:cs="Times New Roman" w:hint="eastAsia"/>
          <w:sz w:val="24"/>
          <w:szCs w:val="24"/>
        </w:rPr>
        <w:t xml:space="preserve">: </w:t>
      </w:r>
      <w:r>
        <w:rPr>
          <w:rFonts w:ascii="Times New Roman" w:hAnsi="Times New Roman" w:cs="Times New Roman"/>
          <w:sz w:val="24"/>
          <w:szCs w:val="24"/>
        </w:rPr>
        <w:t>N</w:t>
      </w:r>
      <w:r>
        <w:rPr>
          <w:rFonts w:ascii="Times New Roman" w:hAnsi="Times New Roman" w:cs="Times New Roman" w:hint="eastAsia"/>
          <w:sz w:val="24"/>
          <w:szCs w:val="24"/>
        </w:rPr>
        <w:t>o</w:t>
      </w:r>
      <w:r>
        <w:rPr>
          <w:rFonts w:ascii="Times New Roman" w:hAnsi="Times New Roman" w:cs="Times New Roman"/>
          <w:sz w:val="24"/>
          <w:szCs w:val="24"/>
        </w:rPr>
        <w:t>.</w:t>
      </w:r>
    </w:p>
    <w:p w:rsidR="000B609E" w:rsidRDefault="00B220E1">
      <w:pPr>
        <w:pStyle w:val="1"/>
        <w:numPr>
          <w:ilvl w:val="0"/>
          <w:numId w:val="11"/>
        </w:numPr>
        <w:spacing w:beforeLines="50" w:before="156" w:after="10" w:line="360" w:lineRule="auto"/>
        <w:ind w:left="0" w:firstLine="482"/>
        <w:rPr>
          <w:rFonts w:ascii="Times New Roman" w:hAnsi="Times New Roman" w:cs="Times New Roman"/>
          <w:sz w:val="24"/>
          <w:szCs w:val="24"/>
        </w:rPr>
      </w:pPr>
      <w:r>
        <w:rPr>
          <w:rFonts w:ascii="Times New Roman" w:hAnsi="Times New Roman" w:cs="Times New Roman" w:hint="eastAsia"/>
          <w:sz w:val="24"/>
          <w:szCs w:val="24"/>
        </w:rPr>
        <w:t>TAXATION</w:t>
      </w:r>
    </w:p>
    <w:p w:rsidR="000B609E" w:rsidRDefault="00B220E1">
      <w:pPr>
        <w:pStyle w:val="11"/>
        <w:numPr>
          <w:ilvl w:val="0"/>
          <w:numId w:val="18"/>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main categories and rates of taxes applicable to the Group are set out</w:t>
      </w:r>
      <w:r>
        <w:rPr>
          <w:rFonts w:ascii="Times New Roman" w:hAnsi="Times New Roman" w:cs="Times New Roman" w:hint="eastAsia"/>
          <w:sz w:val="24"/>
          <w:szCs w:val="24"/>
        </w:rPr>
        <w:t xml:space="preserve"> b</w:t>
      </w:r>
      <w:r>
        <w:rPr>
          <w:rFonts w:ascii="Times New Roman" w:hAnsi="Times New Roman" w:cs="Times New Roman"/>
          <w:sz w:val="24"/>
          <w:szCs w:val="24"/>
        </w:rPr>
        <w:t>elow:</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7"/>
        <w:gridCol w:w="2802"/>
        <w:gridCol w:w="2699"/>
      </w:tblGrid>
      <w:tr w:rsidR="000B609E">
        <w:trPr>
          <w:trHeight w:hRule="exact" w:val="567"/>
          <w:tblHeader/>
          <w:jc w:val="center"/>
        </w:trPr>
        <w:tc>
          <w:tcPr>
            <w:tcW w:w="2907" w:type="dxa"/>
            <w:tcBorders>
              <w:top w:val="double" w:sz="4" w:space="0" w:color="auto"/>
              <w:left w:val="nil"/>
            </w:tcBorders>
            <w:tcMar>
              <w:left w:w="108" w:type="dxa"/>
              <w:right w:w="108" w:type="dxa"/>
            </w:tcMar>
            <w:vAlign w:val="bottom"/>
          </w:tcPr>
          <w:p w:rsidR="000B609E" w:rsidRDefault="00B220E1">
            <w:pPr>
              <w:spacing w:after="156" w:line="360" w:lineRule="auto"/>
              <w:ind w:firstLine="402"/>
              <w:jc w:val="center"/>
              <w:rPr>
                <w:rFonts w:ascii="Times New Roman" w:eastAsia="宋体" w:hAnsi="Times New Roman" w:cs="Times New Roman"/>
                <w:b/>
                <w:snapToGrid w:val="0"/>
                <w:kern w:val="0"/>
                <w:sz w:val="20"/>
                <w:szCs w:val="20"/>
                <w:lang w:val="en-GB"/>
              </w:rPr>
            </w:pPr>
            <w:r>
              <w:rPr>
                <w:rFonts w:ascii="Times New Roman" w:eastAsia="宋体" w:hAnsi="Times New Roman" w:cs="Times New Roman"/>
                <w:b/>
                <w:snapToGrid w:val="0"/>
                <w:kern w:val="0"/>
                <w:sz w:val="20"/>
                <w:szCs w:val="20"/>
                <w:lang w:val="en-GB"/>
              </w:rPr>
              <w:t>Taxes/surcharges</w:t>
            </w:r>
          </w:p>
        </w:tc>
        <w:tc>
          <w:tcPr>
            <w:tcW w:w="2802" w:type="dxa"/>
            <w:tcBorders>
              <w:top w:val="double" w:sz="4" w:space="0" w:color="auto"/>
            </w:tcBorders>
            <w:tcMar>
              <w:left w:w="108" w:type="dxa"/>
              <w:right w:w="108" w:type="dxa"/>
            </w:tcMar>
            <w:vAlign w:val="bottom"/>
          </w:tcPr>
          <w:p w:rsidR="000B609E" w:rsidRDefault="00B220E1">
            <w:pPr>
              <w:spacing w:after="156" w:line="360" w:lineRule="auto"/>
              <w:ind w:firstLine="402"/>
              <w:jc w:val="center"/>
              <w:rPr>
                <w:rFonts w:ascii="Times New Roman" w:eastAsia="宋体" w:hAnsi="Times New Roman" w:cs="Times New Roman"/>
                <w:b/>
                <w:snapToGrid w:val="0"/>
                <w:kern w:val="0"/>
                <w:sz w:val="20"/>
                <w:szCs w:val="20"/>
                <w:lang w:val="en-GB"/>
              </w:rPr>
            </w:pPr>
            <w:r>
              <w:rPr>
                <w:rFonts w:ascii="Times New Roman" w:eastAsia="宋体" w:hAnsi="Times New Roman" w:cs="Times New Roman"/>
                <w:b/>
                <w:snapToGrid w:val="0"/>
                <w:kern w:val="0"/>
                <w:sz w:val="20"/>
                <w:szCs w:val="20"/>
                <w:lang w:val="en-GB"/>
              </w:rPr>
              <w:t>Tax/surcharge base</w:t>
            </w:r>
          </w:p>
        </w:tc>
        <w:tc>
          <w:tcPr>
            <w:tcW w:w="2699" w:type="dxa"/>
            <w:tcBorders>
              <w:top w:val="double" w:sz="4" w:space="0" w:color="auto"/>
              <w:right w:val="nil"/>
            </w:tcBorders>
            <w:tcMar>
              <w:left w:w="108" w:type="dxa"/>
              <w:right w:w="108" w:type="dxa"/>
            </w:tcMar>
            <w:vAlign w:val="bottom"/>
          </w:tcPr>
          <w:p w:rsidR="000B609E" w:rsidRDefault="00B220E1">
            <w:pPr>
              <w:spacing w:after="156" w:line="360" w:lineRule="auto"/>
              <w:ind w:firstLine="402"/>
              <w:jc w:val="center"/>
              <w:rPr>
                <w:rFonts w:ascii="Times New Roman" w:eastAsia="宋体" w:hAnsi="Times New Roman" w:cs="Times New Roman"/>
                <w:b/>
                <w:snapToGrid w:val="0"/>
                <w:kern w:val="0"/>
                <w:sz w:val="20"/>
                <w:szCs w:val="20"/>
                <w:lang w:val="en-GB"/>
              </w:rPr>
            </w:pPr>
            <w:r>
              <w:rPr>
                <w:rFonts w:ascii="Times New Roman" w:eastAsia="宋体" w:hAnsi="Times New Roman" w:cs="Times New Roman"/>
                <w:b/>
                <w:snapToGrid w:val="0"/>
                <w:kern w:val="0"/>
                <w:sz w:val="20"/>
                <w:szCs w:val="20"/>
                <w:lang w:val="en-GB"/>
              </w:rPr>
              <w:t>Tax and surcharge rate</w:t>
            </w:r>
          </w:p>
        </w:tc>
      </w:tr>
      <w:tr w:rsidR="000B609E">
        <w:trPr>
          <w:trHeight w:hRule="exact" w:val="454"/>
          <w:jc w:val="center"/>
        </w:trPr>
        <w:tc>
          <w:tcPr>
            <w:tcW w:w="2907" w:type="dxa"/>
            <w:tcBorders>
              <w:left w:val="nil"/>
            </w:tcBorders>
            <w:tcMar>
              <w:left w:w="108" w:type="dxa"/>
              <w:right w:w="108" w:type="dxa"/>
            </w:tcMar>
            <w:vAlign w:val="bottom"/>
          </w:tcPr>
          <w:p w:rsidR="000B609E" w:rsidRDefault="00B220E1">
            <w:pPr>
              <w:spacing w:after="156" w:line="360" w:lineRule="auto"/>
              <w:ind w:firstLineChars="0" w:firstLine="0"/>
              <w:rPr>
                <w:rFonts w:ascii="Times New Roman" w:eastAsia="宋体" w:hAnsi="Times New Roman" w:cs="Times New Roman"/>
                <w:snapToGrid w:val="0"/>
                <w:kern w:val="0"/>
                <w:sz w:val="20"/>
                <w:szCs w:val="20"/>
                <w:lang w:val="en-GB"/>
              </w:rPr>
            </w:pPr>
            <w:r>
              <w:rPr>
                <w:rFonts w:ascii="Times New Roman" w:eastAsia="宋体" w:hAnsi="Times New Roman" w:cs="Times New Roman"/>
                <w:snapToGrid w:val="0"/>
                <w:kern w:val="0"/>
                <w:sz w:val="20"/>
                <w:szCs w:val="20"/>
                <w:lang w:val="en-GB"/>
              </w:rPr>
              <w:t>Income taxes</w:t>
            </w:r>
          </w:p>
        </w:tc>
        <w:tc>
          <w:tcPr>
            <w:tcW w:w="2802" w:type="dxa"/>
            <w:tcMar>
              <w:left w:w="108" w:type="dxa"/>
              <w:right w:w="108" w:type="dxa"/>
            </w:tcMar>
            <w:vAlign w:val="center"/>
          </w:tcPr>
          <w:p w:rsidR="000B609E" w:rsidRDefault="00B220E1">
            <w:pPr>
              <w:spacing w:after="156" w:line="360" w:lineRule="auto"/>
              <w:ind w:firstLine="400"/>
              <w:jc w:val="both"/>
              <w:rPr>
                <w:rFonts w:ascii="Times New Roman" w:eastAsia="宋体" w:hAnsi="Times New Roman" w:cs="Times New Roman"/>
                <w:snapToGrid w:val="0"/>
                <w:kern w:val="0"/>
                <w:sz w:val="20"/>
                <w:szCs w:val="20"/>
                <w:lang w:val="en-GB"/>
              </w:rPr>
            </w:pPr>
            <w:r>
              <w:rPr>
                <w:rFonts w:ascii="Times New Roman" w:eastAsia="宋体" w:hAnsi="Times New Roman" w:cs="Times New Roman"/>
                <w:snapToGrid w:val="0"/>
                <w:kern w:val="0"/>
                <w:sz w:val="20"/>
                <w:szCs w:val="20"/>
                <w:lang w:val="en-GB"/>
              </w:rPr>
              <w:t>Taxable income</w:t>
            </w:r>
          </w:p>
        </w:tc>
        <w:tc>
          <w:tcPr>
            <w:tcW w:w="2699" w:type="dxa"/>
            <w:tcBorders>
              <w:right w:val="nil"/>
            </w:tcBorders>
            <w:tcMar>
              <w:left w:w="108" w:type="dxa"/>
              <w:right w:w="108" w:type="dxa"/>
            </w:tcMar>
            <w:vAlign w:val="bottom"/>
          </w:tcPr>
          <w:p w:rsidR="000B609E" w:rsidRDefault="00B220E1">
            <w:pPr>
              <w:spacing w:after="156" w:line="360" w:lineRule="auto"/>
              <w:ind w:firstLine="400"/>
              <w:jc w:val="center"/>
              <w:rPr>
                <w:rFonts w:ascii="Times New Roman" w:eastAsia="宋体" w:hAnsi="Times New Roman" w:cs="Times New Roman"/>
                <w:snapToGrid w:val="0"/>
                <w:kern w:val="0"/>
                <w:sz w:val="20"/>
                <w:szCs w:val="20"/>
                <w:lang w:val="en-GB"/>
              </w:rPr>
            </w:pPr>
            <w:r>
              <w:rPr>
                <w:rFonts w:ascii="Times New Roman" w:eastAsia="宋体" w:hAnsi="Times New Roman" w:cs="Times New Roman" w:hint="eastAsia"/>
                <w:snapToGrid w:val="0"/>
                <w:kern w:val="0"/>
                <w:sz w:val="20"/>
                <w:szCs w:val="20"/>
                <w:lang w:val="en-GB"/>
              </w:rPr>
              <w:t>25%</w:t>
            </w:r>
          </w:p>
        </w:tc>
      </w:tr>
      <w:tr w:rsidR="000B609E">
        <w:trPr>
          <w:trHeight w:hRule="exact" w:val="907"/>
          <w:jc w:val="center"/>
        </w:trPr>
        <w:tc>
          <w:tcPr>
            <w:tcW w:w="2907" w:type="dxa"/>
            <w:tcBorders>
              <w:left w:val="nil"/>
            </w:tcBorders>
            <w:tcMar>
              <w:left w:w="108" w:type="dxa"/>
              <w:right w:w="108" w:type="dxa"/>
            </w:tcMar>
            <w:vAlign w:val="bottom"/>
          </w:tcPr>
          <w:p w:rsidR="000B609E" w:rsidRDefault="00B220E1">
            <w:pPr>
              <w:spacing w:after="156" w:line="360" w:lineRule="auto"/>
              <w:ind w:firstLineChars="0" w:firstLine="0"/>
              <w:rPr>
                <w:rFonts w:ascii="Times New Roman" w:eastAsia="宋体" w:hAnsi="Times New Roman" w:cs="Times New Roman"/>
                <w:snapToGrid w:val="0"/>
                <w:kern w:val="0"/>
                <w:sz w:val="20"/>
                <w:szCs w:val="20"/>
                <w:lang w:val="en-GB"/>
              </w:rPr>
            </w:pPr>
            <w:r>
              <w:rPr>
                <w:rFonts w:ascii="Times New Roman" w:eastAsia="宋体" w:hAnsi="Times New Roman" w:cs="Times New Roman"/>
                <w:snapToGrid w:val="0"/>
                <w:kern w:val="0"/>
                <w:sz w:val="20"/>
                <w:szCs w:val="20"/>
                <w:lang w:val="en-GB"/>
              </w:rPr>
              <w:t>Value-added tax (“VAT”) / business tax</w:t>
            </w:r>
          </w:p>
        </w:tc>
        <w:tc>
          <w:tcPr>
            <w:tcW w:w="2802" w:type="dxa"/>
            <w:tcMar>
              <w:left w:w="108" w:type="dxa"/>
              <w:right w:w="108" w:type="dxa"/>
            </w:tcMar>
            <w:vAlign w:val="center"/>
          </w:tcPr>
          <w:p w:rsidR="000B609E" w:rsidRDefault="00B220E1">
            <w:pPr>
              <w:spacing w:after="156" w:line="360" w:lineRule="auto"/>
              <w:ind w:firstLine="400"/>
              <w:jc w:val="both"/>
              <w:rPr>
                <w:rFonts w:ascii="Times New Roman" w:eastAsia="宋体" w:hAnsi="Times New Roman" w:cs="Times New Roman"/>
                <w:snapToGrid w:val="0"/>
                <w:kern w:val="0"/>
                <w:sz w:val="20"/>
                <w:szCs w:val="20"/>
                <w:lang w:val="en-GB"/>
              </w:rPr>
            </w:pPr>
            <w:r>
              <w:rPr>
                <w:rFonts w:ascii="Times New Roman" w:eastAsia="宋体" w:hAnsi="Times New Roman" w:cs="Times New Roman"/>
                <w:snapToGrid w:val="0"/>
                <w:kern w:val="0"/>
                <w:sz w:val="20"/>
                <w:szCs w:val="20"/>
                <w:lang w:val="en-GB"/>
              </w:rPr>
              <w:t>Income subject to tax</w:t>
            </w:r>
          </w:p>
        </w:tc>
        <w:tc>
          <w:tcPr>
            <w:tcW w:w="2699" w:type="dxa"/>
            <w:tcBorders>
              <w:right w:val="nil"/>
            </w:tcBorders>
            <w:tcMar>
              <w:left w:w="108" w:type="dxa"/>
              <w:right w:w="108" w:type="dxa"/>
            </w:tcMar>
            <w:vAlign w:val="bottom"/>
          </w:tcPr>
          <w:p w:rsidR="000B609E" w:rsidRDefault="00B220E1">
            <w:pPr>
              <w:spacing w:after="156" w:line="360" w:lineRule="auto"/>
              <w:ind w:firstLine="400"/>
              <w:jc w:val="center"/>
              <w:rPr>
                <w:rFonts w:ascii="Times New Roman" w:eastAsia="宋体" w:hAnsi="Times New Roman" w:cs="Times New Roman"/>
                <w:snapToGrid w:val="0"/>
                <w:kern w:val="0"/>
                <w:sz w:val="20"/>
                <w:szCs w:val="20"/>
                <w:lang w:val="en-GB"/>
              </w:rPr>
            </w:pPr>
            <w:r>
              <w:rPr>
                <w:rFonts w:ascii="Times New Roman" w:eastAsia="宋体" w:hAnsi="Times New Roman" w:cs="Times New Roman" w:hint="eastAsia"/>
                <w:snapToGrid w:val="0"/>
                <w:kern w:val="0"/>
                <w:sz w:val="20"/>
                <w:szCs w:val="20"/>
                <w:lang w:val="en-GB"/>
              </w:rPr>
              <w:t>3%</w:t>
            </w:r>
            <w:r>
              <w:rPr>
                <w:rFonts w:ascii="Times New Roman" w:eastAsia="宋体" w:hAnsi="Times New Roman" w:cs="Times New Roman" w:hint="eastAsia"/>
                <w:snapToGrid w:val="0"/>
                <w:kern w:val="0"/>
                <w:sz w:val="20"/>
                <w:szCs w:val="20"/>
                <w:lang w:val="en-GB"/>
              </w:rPr>
              <w:t>、</w:t>
            </w:r>
            <w:r>
              <w:rPr>
                <w:rFonts w:ascii="Times New Roman" w:eastAsia="宋体" w:hAnsi="Times New Roman" w:cs="Times New Roman" w:hint="eastAsia"/>
                <w:snapToGrid w:val="0"/>
                <w:kern w:val="0"/>
                <w:sz w:val="20"/>
                <w:szCs w:val="20"/>
                <w:lang w:val="en-GB"/>
              </w:rPr>
              <w:t>5% or 6%</w:t>
            </w:r>
          </w:p>
        </w:tc>
      </w:tr>
      <w:tr w:rsidR="000B609E">
        <w:trPr>
          <w:trHeight w:hRule="exact" w:val="907"/>
          <w:jc w:val="center"/>
        </w:trPr>
        <w:tc>
          <w:tcPr>
            <w:tcW w:w="2907" w:type="dxa"/>
            <w:tcBorders>
              <w:left w:val="nil"/>
            </w:tcBorders>
            <w:tcMar>
              <w:left w:w="108" w:type="dxa"/>
              <w:right w:w="108" w:type="dxa"/>
            </w:tcMar>
            <w:vAlign w:val="bottom"/>
          </w:tcPr>
          <w:p w:rsidR="000B609E" w:rsidRDefault="00B220E1">
            <w:pPr>
              <w:spacing w:after="156" w:line="360" w:lineRule="auto"/>
              <w:ind w:firstLineChars="0" w:firstLine="0"/>
              <w:rPr>
                <w:rFonts w:ascii="Times New Roman" w:eastAsia="宋体" w:hAnsi="Times New Roman" w:cs="Times New Roman"/>
                <w:snapToGrid w:val="0"/>
                <w:kern w:val="0"/>
                <w:sz w:val="20"/>
                <w:szCs w:val="20"/>
                <w:lang w:val="en-GB"/>
              </w:rPr>
            </w:pPr>
            <w:r>
              <w:rPr>
                <w:rFonts w:ascii="Times New Roman" w:eastAsia="宋体" w:hAnsi="Times New Roman" w:cs="Times New Roman"/>
                <w:snapToGrid w:val="0"/>
                <w:kern w:val="0"/>
                <w:sz w:val="20"/>
                <w:szCs w:val="20"/>
                <w:lang w:val="en-GB"/>
              </w:rPr>
              <w:t>City</w:t>
            </w:r>
            <w:r>
              <w:rPr>
                <w:rFonts w:ascii="Times New Roman" w:eastAsia="宋体" w:hAnsi="Times New Roman" w:cs="Times New Roman" w:hint="eastAsia"/>
                <w:snapToGrid w:val="0"/>
                <w:kern w:val="0"/>
                <w:sz w:val="20"/>
                <w:szCs w:val="20"/>
                <w:lang w:val="en-GB"/>
              </w:rPr>
              <w:t xml:space="preserve"> </w:t>
            </w:r>
            <w:r>
              <w:rPr>
                <w:rFonts w:ascii="Times New Roman" w:eastAsia="宋体" w:hAnsi="Times New Roman" w:cs="Times New Roman"/>
                <w:snapToGrid w:val="0"/>
                <w:kern w:val="0"/>
                <w:sz w:val="20"/>
                <w:szCs w:val="20"/>
                <w:lang w:val="en-GB"/>
              </w:rPr>
              <w:t>maintenance</w:t>
            </w:r>
            <w:r>
              <w:rPr>
                <w:rFonts w:ascii="Times New Roman" w:eastAsia="宋体" w:hAnsi="Times New Roman" w:cs="Times New Roman" w:hint="eastAsia"/>
                <w:snapToGrid w:val="0"/>
                <w:kern w:val="0"/>
                <w:sz w:val="20"/>
                <w:szCs w:val="20"/>
                <w:lang w:val="en-GB"/>
              </w:rPr>
              <w:t xml:space="preserve"> </w:t>
            </w:r>
            <w:r>
              <w:rPr>
                <w:rFonts w:ascii="Times New Roman" w:eastAsia="宋体" w:hAnsi="Times New Roman" w:cs="Times New Roman"/>
                <w:snapToGrid w:val="0"/>
                <w:kern w:val="0"/>
                <w:sz w:val="20"/>
                <w:szCs w:val="20"/>
                <w:lang w:val="en-GB"/>
              </w:rPr>
              <w:t>and construction tax</w:t>
            </w:r>
          </w:p>
        </w:tc>
        <w:tc>
          <w:tcPr>
            <w:tcW w:w="2802" w:type="dxa"/>
            <w:tcMar>
              <w:left w:w="108" w:type="dxa"/>
              <w:right w:w="108" w:type="dxa"/>
            </w:tcMar>
            <w:vAlign w:val="center"/>
          </w:tcPr>
          <w:p w:rsidR="000B609E" w:rsidRDefault="00B220E1">
            <w:pPr>
              <w:spacing w:after="156" w:line="360" w:lineRule="auto"/>
              <w:ind w:firstLineChars="0" w:firstLine="0"/>
              <w:jc w:val="both"/>
              <w:rPr>
                <w:rFonts w:ascii="Times New Roman" w:eastAsia="宋体" w:hAnsi="Times New Roman" w:cs="Times New Roman"/>
                <w:snapToGrid w:val="0"/>
                <w:kern w:val="0"/>
                <w:sz w:val="20"/>
                <w:szCs w:val="20"/>
                <w:lang w:val="en-GB"/>
              </w:rPr>
            </w:pPr>
            <w:r>
              <w:rPr>
                <w:rFonts w:ascii="Times New Roman" w:eastAsia="宋体" w:hAnsi="Times New Roman" w:cs="Times New Roman"/>
                <w:snapToGrid w:val="0"/>
                <w:kern w:val="0"/>
                <w:sz w:val="20"/>
                <w:szCs w:val="20"/>
                <w:lang w:val="en-GB"/>
              </w:rPr>
              <w:t>VAT and business tax payable</w:t>
            </w:r>
          </w:p>
        </w:tc>
        <w:tc>
          <w:tcPr>
            <w:tcW w:w="2699" w:type="dxa"/>
            <w:tcBorders>
              <w:right w:val="nil"/>
            </w:tcBorders>
            <w:tcMar>
              <w:left w:w="108" w:type="dxa"/>
              <w:right w:w="108" w:type="dxa"/>
            </w:tcMar>
            <w:vAlign w:val="bottom"/>
          </w:tcPr>
          <w:p w:rsidR="000B609E" w:rsidRDefault="00B220E1">
            <w:pPr>
              <w:spacing w:after="156" w:line="360" w:lineRule="auto"/>
              <w:ind w:firstLine="400"/>
              <w:jc w:val="center"/>
              <w:rPr>
                <w:rFonts w:ascii="Times New Roman" w:eastAsia="宋体" w:hAnsi="Times New Roman" w:cs="Times New Roman"/>
                <w:snapToGrid w:val="0"/>
                <w:kern w:val="0"/>
                <w:sz w:val="20"/>
                <w:szCs w:val="20"/>
                <w:lang w:val="en-GB"/>
              </w:rPr>
            </w:pPr>
            <w:r>
              <w:rPr>
                <w:rFonts w:ascii="Times New Roman" w:eastAsia="宋体" w:hAnsi="Times New Roman" w:cs="Times New Roman" w:hint="eastAsia"/>
                <w:snapToGrid w:val="0"/>
                <w:kern w:val="0"/>
                <w:sz w:val="20"/>
                <w:szCs w:val="20"/>
                <w:lang w:val="en-GB"/>
              </w:rPr>
              <w:t>7%</w:t>
            </w:r>
          </w:p>
        </w:tc>
      </w:tr>
      <w:tr w:rsidR="000B609E">
        <w:trPr>
          <w:trHeight w:hRule="exact" w:val="454"/>
          <w:jc w:val="center"/>
        </w:trPr>
        <w:tc>
          <w:tcPr>
            <w:tcW w:w="2907" w:type="dxa"/>
            <w:tcBorders>
              <w:left w:val="nil"/>
              <w:bottom w:val="double" w:sz="4" w:space="0" w:color="auto"/>
            </w:tcBorders>
            <w:tcMar>
              <w:left w:w="108" w:type="dxa"/>
              <w:right w:w="108" w:type="dxa"/>
            </w:tcMar>
            <w:vAlign w:val="bottom"/>
          </w:tcPr>
          <w:p w:rsidR="000B609E" w:rsidRDefault="00B220E1">
            <w:pPr>
              <w:spacing w:after="156" w:line="360" w:lineRule="auto"/>
              <w:ind w:firstLineChars="0" w:firstLine="0"/>
              <w:rPr>
                <w:rFonts w:ascii="Times New Roman" w:eastAsia="宋体" w:hAnsi="Times New Roman" w:cs="Times New Roman"/>
                <w:snapToGrid w:val="0"/>
                <w:kern w:val="0"/>
                <w:sz w:val="20"/>
                <w:szCs w:val="20"/>
                <w:lang w:val="en-GB"/>
              </w:rPr>
            </w:pPr>
            <w:r>
              <w:rPr>
                <w:rFonts w:ascii="Times New Roman" w:eastAsia="宋体" w:hAnsi="Times New Roman" w:cs="Times New Roman"/>
                <w:snapToGrid w:val="0"/>
                <w:kern w:val="0"/>
                <w:sz w:val="20"/>
                <w:szCs w:val="20"/>
                <w:lang w:val="en-GB"/>
              </w:rPr>
              <w:t>Educational surcharge</w:t>
            </w:r>
          </w:p>
        </w:tc>
        <w:tc>
          <w:tcPr>
            <w:tcW w:w="2802" w:type="dxa"/>
            <w:tcBorders>
              <w:bottom w:val="double" w:sz="4" w:space="0" w:color="auto"/>
            </w:tcBorders>
            <w:tcMar>
              <w:left w:w="108" w:type="dxa"/>
              <w:right w:w="108" w:type="dxa"/>
            </w:tcMar>
            <w:vAlign w:val="center"/>
          </w:tcPr>
          <w:p w:rsidR="000B609E" w:rsidRDefault="00B220E1">
            <w:pPr>
              <w:spacing w:after="156" w:line="360" w:lineRule="auto"/>
              <w:ind w:firstLineChars="0" w:firstLine="0"/>
              <w:jc w:val="both"/>
              <w:rPr>
                <w:rFonts w:ascii="Times New Roman" w:eastAsia="宋体" w:hAnsi="Times New Roman" w:cs="Times New Roman"/>
                <w:snapToGrid w:val="0"/>
                <w:kern w:val="0"/>
                <w:sz w:val="20"/>
                <w:szCs w:val="20"/>
                <w:lang w:val="en-GB"/>
              </w:rPr>
            </w:pPr>
            <w:r>
              <w:rPr>
                <w:rFonts w:ascii="Times New Roman" w:eastAsia="宋体" w:hAnsi="Times New Roman" w:cs="Times New Roman"/>
                <w:snapToGrid w:val="0"/>
                <w:kern w:val="0"/>
                <w:sz w:val="20"/>
                <w:szCs w:val="20"/>
                <w:lang w:val="en-GB"/>
              </w:rPr>
              <w:t>VAT and business tax payable</w:t>
            </w:r>
          </w:p>
        </w:tc>
        <w:tc>
          <w:tcPr>
            <w:tcW w:w="2699" w:type="dxa"/>
            <w:tcBorders>
              <w:bottom w:val="double" w:sz="4" w:space="0" w:color="auto"/>
              <w:right w:val="nil"/>
            </w:tcBorders>
            <w:tcMar>
              <w:left w:w="108" w:type="dxa"/>
              <w:right w:w="108" w:type="dxa"/>
            </w:tcMar>
            <w:vAlign w:val="bottom"/>
          </w:tcPr>
          <w:p w:rsidR="000B609E" w:rsidRDefault="00B220E1">
            <w:pPr>
              <w:spacing w:after="156" w:line="360" w:lineRule="auto"/>
              <w:ind w:firstLine="400"/>
              <w:jc w:val="center"/>
              <w:rPr>
                <w:rFonts w:ascii="Times New Roman" w:eastAsia="宋体" w:hAnsi="Times New Roman" w:cs="Times New Roman"/>
                <w:snapToGrid w:val="0"/>
                <w:kern w:val="0"/>
                <w:sz w:val="20"/>
                <w:szCs w:val="20"/>
                <w:lang w:val="en-GB"/>
              </w:rPr>
            </w:pPr>
            <w:r>
              <w:rPr>
                <w:rFonts w:ascii="Times New Roman" w:eastAsia="宋体" w:hAnsi="Times New Roman" w:cs="Times New Roman" w:hint="eastAsia"/>
                <w:snapToGrid w:val="0"/>
                <w:kern w:val="0"/>
                <w:sz w:val="20"/>
                <w:szCs w:val="20"/>
                <w:lang w:val="en-GB"/>
              </w:rPr>
              <w:t>5%</w:t>
            </w:r>
          </w:p>
        </w:tc>
      </w:tr>
    </w:tbl>
    <w:p w:rsidR="000B609E" w:rsidRDefault="00B220E1">
      <w:pPr>
        <w:pStyle w:val="11"/>
        <w:numPr>
          <w:ilvl w:val="0"/>
          <w:numId w:val="18"/>
        </w:numPr>
        <w:spacing w:beforeLines="100" w:before="312"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Tax </w:t>
      </w:r>
      <w:r>
        <w:rPr>
          <w:rFonts w:ascii="Times New Roman" w:hAnsi="Times New Roman" w:cs="Times New Roman" w:hint="eastAsia"/>
          <w:sz w:val="24"/>
          <w:szCs w:val="24"/>
        </w:rPr>
        <w:t>p</w:t>
      </w:r>
      <w:r>
        <w:rPr>
          <w:rFonts w:ascii="Times New Roman" w:hAnsi="Times New Roman" w:cs="Times New Roman"/>
          <w:sz w:val="24"/>
          <w:szCs w:val="24"/>
        </w:rPr>
        <w:t xml:space="preserve">reference and </w:t>
      </w:r>
      <w:r>
        <w:rPr>
          <w:rFonts w:ascii="Times New Roman" w:hAnsi="Times New Roman" w:cs="Times New Roman" w:hint="eastAsia"/>
          <w:sz w:val="24"/>
          <w:szCs w:val="24"/>
        </w:rPr>
        <w:t>o</w:t>
      </w:r>
      <w:r>
        <w:rPr>
          <w:rFonts w:ascii="Times New Roman" w:hAnsi="Times New Roman" w:cs="Times New Roman"/>
          <w:sz w:val="24"/>
          <w:szCs w:val="24"/>
        </w:rPr>
        <w:t xml:space="preserve">fficial </w:t>
      </w:r>
      <w:r>
        <w:rPr>
          <w:rFonts w:ascii="Times New Roman" w:hAnsi="Times New Roman" w:cs="Times New Roman" w:hint="eastAsia"/>
          <w:sz w:val="24"/>
          <w:szCs w:val="24"/>
        </w:rPr>
        <w:t>d</w:t>
      </w:r>
      <w:r>
        <w:rPr>
          <w:rFonts w:ascii="Times New Roman" w:hAnsi="Times New Roman" w:cs="Times New Roman"/>
          <w:sz w:val="24"/>
          <w:szCs w:val="24"/>
        </w:rPr>
        <w:t>ocuments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According to the third article of “Notice of the State Administration of Taxation and Ministry of Finance on Further Clarifying the Policy on Promoting the Financial Industry Business Tax to Value Added Tax Pilot” (</w:t>
      </w:r>
      <w:r>
        <w:rPr>
          <w:rFonts w:ascii="Times New Roman" w:hAnsi="Times New Roman" w:cs="Times New Roman" w:hint="eastAsia"/>
          <w:sz w:val="24"/>
          <w:szCs w:val="24"/>
        </w:rPr>
        <w:t>CS</w:t>
      </w:r>
      <w:r>
        <w:rPr>
          <w:rFonts w:ascii="Times New Roman" w:hAnsi="Times New Roman" w:cs="Times New Roman"/>
          <w:sz w:val="24"/>
          <w:szCs w:val="24"/>
        </w:rPr>
        <w:t xml:space="preserve"> [2016] No.46), financial service income of rural credit cooperatives, rural banks, rural credit cooperatives, loan institutions established by the banking institutions, the legal institutions in the county (county-level city, district, flag) and the county below the rural cooperative banks and rural commercial banks, can choose to apply a simple tax method to pay Value Added Tax at rate of 3%. Therefore, since May 1, 2016, the Group paid Value Added Tax of </w:t>
      </w:r>
      <w:r>
        <w:rPr>
          <w:rFonts w:ascii="Times New Roman" w:hAnsi="Times New Roman" w:cs="Times New Roman" w:hint="eastAsia"/>
          <w:sz w:val="24"/>
          <w:szCs w:val="24"/>
        </w:rPr>
        <w:t>finance business income</w:t>
      </w:r>
      <w:r>
        <w:rPr>
          <w:rFonts w:ascii="Times New Roman" w:hAnsi="Times New Roman" w:cs="Times New Roman"/>
          <w:sz w:val="24"/>
          <w:szCs w:val="24"/>
        </w:rPr>
        <w:t xml:space="preserve"> at rate of 3%</w:t>
      </w:r>
      <w:r>
        <w:rPr>
          <w:rFonts w:ascii="Times New Roman" w:hAnsi="Times New Roman" w:cs="Times New Roman" w:hint="eastAsia"/>
          <w:sz w:val="24"/>
          <w:szCs w:val="24"/>
        </w:rPr>
        <w:t>, a</w:t>
      </w:r>
      <w:r>
        <w:rPr>
          <w:rFonts w:ascii="Times New Roman" w:hAnsi="Times New Roman" w:cs="Times New Roman"/>
          <w:sz w:val="24"/>
          <w:szCs w:val="24"/>
        </w:rPr>
        <w:t>gency commissions</w:t>
      </w:r>
      <w:r>
        <w:rPr>
          <w:rFonts w:ascii="Times New Roman" w:hAnsi="Times New Roman" w:cs="Times New Roman" w:hint="eastAsia"/>
          <w:sz w:val="24"/>
          <w:szCs w:val="24"/>
        </w:rPr>
        <w:t xml:space="preserve"> at rate of 6%, rental income at rate of 5% and other business income at rate of 3%.</w:t>
      </w:r>
    </w:p>
    <w:p w:rsidR="000B609E" w:rsidRDefault="00B220E1">
      <w:pPr>
        <w:pStyle w:val="1"/>
        <w:numPr>
          <w:ilvl w:val="0"/>
          <w:numId w:val="11"/>
        </w:numPr>
        <w:spacing w:before="0" w:afterLines="50" w:after="156" w:line="360" w:lineRule="auto"/>
        <w:ind w:left="0" w:firstLine="482"/>
        <w:rPr>
          <w:rFonts w:ascii="Times New Roman" w:hAnsi="Times New Roman" w:cs="Times New Roman"/>
          <w:sz w:val="24"/>
          <w:szCs w:val="24"/>
        </w:rPr>
      </w:pPr>
      <w:r>
        <w:rPr>
          <w:rFonts w:ascii="Times New Roman" w:hAnsi="Times New Roman" w:cs="Times New Roman"/>
          <w:sz w:val="24"/>
          <w:szCs w:val="24"/>
        </w:rPr>
        <w:t>NOTES TO ITEMS IN FINANCIAL STATEMENTS</w:t>
      </w:r>
    </w:p>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 xml:space="preserve"> </w:t>
      </w:r>
      <w:r>
        <w:rPr>
          <w:rFonts w:ascii="Times New Roman" w:hAnsi="Times New Roman" w:cs="Times New Roman"/>
          <w:sz w:val="24"/>
          <w:szCs w:val="24"/>
        </w:rPr>
        <w:t>Cash and balances with the central bank</w:t>
      </w:r>
    </w:p>
    <w:tbl>
      <w:tblPr>
        <w:tblW w:w="10026" w:type="dxa"/>
        <w:jc w:val="center"/>
        <w:tblLayout w:type="fixed"/>
        <w:tblLook w:val="04A0" w:firstRow="1" w:lastRow="0" w:firstColumn="1" w:lastColumn="0" w:noHBand="0" w:noVBand="1"/>
      </w:tblPr>
      <w:tblGrid>
        <w:gridCol w:w="2271"/>
        <w:gridCol w:w="1829"/>
        <w:gridCol w:w="1830"/>
        <w:gridCol w:w="1828"/>
        <w:gridCol w:w="2268"/>
      </w:tblGrid>
      <w:tr w:rsidR="000B609E">
        <w:trPr>
          <w:trHeight w:val="248"/>
          <w:tblHeader/>
          <w:jc w:val="center"/>
        </w:trPr>
        <w:tc>
          <w:tcPr>
            <w:tcW w:w="2271"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Items</w:t>
            </w:r>
          </w:p>
        </w:tc>
        <w:tc>
          <w:tcPr>
            <w:tcW w:w="3659"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bCs/>
                <w:color w:val="000000"/>
                <w:kern w:val="0"/>
                <w:sz w:val="18"/>
                <w:szCs w:val="18"/>
              </w:rPr>
              <w:t>Group</w:t>
            </w:r>
          </w:p>
        </w:tc>
        <w:tc>
          <w:tcPr>
            <w:tcW w:w="4096"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Bank</w:t>
            </w:r>
          </w:p>
        </w:tc>
      </w:tr>
      <w:tr w:rsidR="000B609E">
        <w:trPr>
          <w:trHeight w:val="276"/>
          <w:tblHeader/>
          <w:jc w:val="center"/>
        </w:trPr>
        <w:tc>
          <w:tcPr>
            <w:tcW w:w="2271"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kern w:val="0"/>
                <w:sz w:val="18"/>
                <w:szCs w:val="18"/>
              </w:rPr>
            </w:pPr>
          </w:p>
        </w:tc>
        <w:tc>
          <w:tcPr>
            <w:tcW w:w="182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2020-12-31</w:t>
            </w:r>
          </w:p>
        </w:tc>
        <w:tc>
          <w:tcPr>
            <w:tcW w:w="18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2019-12-31</w:t>
            </w:r>
          </w:p>
        </w:tc>
        <w:tc>
          <w:tcPr>
            <w:tcW w:w="182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2020-12-31</w:t>
            </w:r>
          </w:p>
        </w:tc>
        <w:tc>
          <w:tcPr>
            <w:tcW w:w="2268"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2019-12-31</w:t>
            </w:r>
          </w:p>
        </w:tc>
      </w:tr>
      <w:tr w:rsidR="000B609E">
        <w:trPr>
          <w:trHeight w:hRule="exact" w:val="454"/>
          <w:jc w:val="center"/>
        </w:trPr>
        <w:tc>
          <w:tcPr>
            <w:tcW w:w="2271"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lastRenderedPageBreak/>
              <w:t>Cash</w:t>
            </w:r>
          </w:p>
        </w:tc>
        <w:tc>
          <w:tcPr>
            <w:tcW w:w="182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128,398,833.94</w:t>
            </w:r>
          </w:p>
        </w:tc>
        <w:tc>
          <w:tcPr>
            <w:tcW w:w="18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144,551,335.13 </w:t>
            </w:r>
          </w:p>
        </w:tc>
        <w:tc>
          <w:tcPr>
            <w:tcW w:w="182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bCs/>
                <w:sz w:val="20"/>
                <w:szCs w:val="20"/>
                <w:lang w:val="en-GB"/>
              </w:rPr>
            </w:pPr>
            <w:r>
              <w:rPr>
                <w:rFonts w:ascii="Arial Narrow" w:hAnsi="Arial Narrow"/>
                <w:bCs/>
                <w:sz w:val="20"/>
                <w:szCs w:val="20"/>
              </w:rPr>
              <w:t>125,981,979.29</w:t>
            </w:r>
          </w:p>
        </w:tc>
        <w:tc>
          <w:tcPr>
            <w:tcW w:w="226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bCs/>
                <w:sz w:val="20"/>
                <w:szCs w:val="20"/>
                <w:lang w:val="en-GB"/>
              </w:rPr>
            </w:pPr>
            <w:r>
              <w:rPr>
                <w:rFonts w:ascii="Arial Narrow" w:hAnsi="Arial Narrow"/>
                <w:bCs/>
                <w:sz w:val="20"/>
                <w:szCs w:val="20"/>
                <w:lang w:val="en-GB"/>
              </w:rPr>
              <w:t xml:space="preserve"> 142,259,285.59 </w:t>
            </w:r>
          </w:p>
        </w:tc>
      </w:tr>
      <w:tr w:rsidR="000B609E">
        <w:trPr>
          <w:trHeight w:hRule="exact" w:val="907"/>
          <w:jc w:val="center"/>
        </w:trPr>
        <w:tc>
          <w:tcPr>
            <w:tcW w:w="2271"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Mandatory reserves with the central bank</w:t>
            </w:r>
          </w:p>
        </w:tc>
        <w:tc>
          <w:tcPr>
            <w:tcW w:w="182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2,556,502,606.61</w:t>
            </w:r>
          </w:p>
        </w:tc>
        <w:tc>
          <w:tcPr>
            <w:tcW w:w="18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 xml:space="preserve"> 3,016,739,020.66 </w:t>
            </w:r>
          </w:p>
        </w:tc>
        <w:tc>
          <w:tcPr>
            <w:tcW w:w="182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bCs/>
                <w:sz w:val="20"/>
                <w:szCs w:val="20"/>
                <w:lang w:val="en-GB"/>
              </w:rPr>
            </w:pPr>
            <w:r>
              <w:rPr>
                <w:rFonts w:ascii="Arial Narrow" w:hAnsi="Arial Narrow"/>
                <w:bCs/>
                <w:sz w:val="20"/>
                <w:szCs w:val="20"/>
              </w:rPr>
              <w:t>2,515,838,852.40</w:t>
            </w:r>
          </w:p>
        </w:tc>
        <w:tc>
          <w:tcPr>
            <w:tcW w:w="226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bCs/>
                <w:sz w:val="20"/>
                <w:szCs w:val="20"/>
                <w:lang w:val="en-GB"/>
              </w:rPr>
            </w:pPr>
            <w:r>
              <w:rPr>
                <w:rFonts w:ascii="Arial Narrow" w:hAnsi="Arial Narrow"/>
                <w:bCs/>
                <w:sz w:val="20"/>
                <w:szCs w:val="20"/>
                <w:lang w:val="en-GB"/>
              </w:rPr>
              <w:t xml:space="preserve"> 2,974,069,795.65 </w:t>
            </w:r>
          </w:p>
        </w:tc>
      </w:tr>
      <w:tr w:rsidR="000B609E">
        <w:trPr>
          <w:trHeight w:hRule="exact" w:val="907"/>
          <w:jc w:val="center"/>
        </w:trPr>
        <w:tc>
          <w:tcPr>
            <w:tcW w:w="2271"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Excess reserves with the central bank</w:t>
            </w:r>
          </w:p>
        </w:tc>
        <w:tc>
          <w:tcPr>
            <w:tcW w:w="182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rPr>
            </w:pPr>
            <w:r>
              <w:rPr>
                <w:rFonts w:ascii="Arial Narrow" w:hAnsi="Arial Narrow" w:cs="宋体"/>
                <w:sz w:val="20"/>
                <w:szCs w:val="20"/>
              </w:rPr>
              <w:t>55,525,167.80</w:t>
            </w:r>
          </w:p>
        </w:tc>
        <w:tc>
          <w:tcPr>
            <w:tcW w:w="18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rPr>
            </w:pPr>
            <w:r>
              <w:rPr>
                <w:rFonts w:ascii="Arial Narrow" w:hAnsi="Arial Narrow" w:cs="宋体"/>
                <w:sz w:val="20"/>
                <w:szCs w:val="20"/>
              </w:rPr>
              <w:t xml:space="preserve">573,559,001.98   </w:t>
            </w:r>
          </w:p>
        </w:tc>
        <w:tc>
          <w:tcPr>
            <w:tcW w:w="182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rPr>
            </w:pPr>
            <w:r>
              <w:rPr>
                <w:rFonts w:ascii="Arial Narrow" w:hAnsi="Arial Narrow" w:cs="宋体"/>
                <w:sz w:val="20"/>
                <w:szCs w:val="20"/>
              </w:rPr>
              <w:t>55,525,167.80</w:t>
            </w:r>
          </w:p>
        </w:tc>
        <w:tc>
          <w:tcPr>
            <w:tcW w:w="226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rPr>
            </w:pPr>
            <w:r>
              <w:rPr>
                <w:rFonts w:ascii="Arial Narrow" w:hAnsi="Arial Narrow" w:cs="宋体"/>
                <w:sz w:val="20"/>
                <w:szCs w:val="20"/>
              </w:rPr>
              <w:t>573,559,001.98</w:t>
            </w:r>
          </w:p>
        </w:tc>
      </w:tr>
      <w:tr w:rsidR="000B609E">
        <w:trPr>
          <w:trHeight w:hRule="exact" w:val="744"/>
          <w:jc w:val="center"/>
        </w:trPr>
        <w:tc>
          <w:tcPr>
            <w:tcW w:w="2271"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Other funds deposited with the central bank</w:t>
            </w:r>
          </w:p>
        </w:tc>
        <w:tc>
          <w:tcPr>
            <w:tcW w:w="1829" w:type="dxa"/>
            <w:tcBorders>
              <w:top w:val="nil"/>
              <w:left w:val="nil"/>
              <w:bottom w:val="single" w:sz="4" w:space="0" w:color="auto"/>
              <w:right w:val="single" w:sz="4" w:space="0" w:color="auto"/>
            </w:tcBorders>
            <w:shd w:val="clear" w:color="auto" w:fill="auto"/>
            <w:vAlign w:val="center"/>
          </w:tcPr>
          <w:p w:rsidR="000B609E" w:rsidRPr="0008308B" w:rsidRDefault="00B220E1" w:rsidP="0008308B">
            <w:pPr>
              <w:spacing w:afterLines="0" w:after="0"/>
              <w:ind w:firstLineChars="0" w:firstLine="0"/>
              <w:jc w:val="right"/>
              <w:rPr>
                <w:rFonts w:ascii="Arial Narrow" w:hAnsi="Arial Narrow" w:cs="宋体"/>
                <w:sz w:val="20"/>
                <w:szCs w:val="20"/>
              </w:rPr>
            </w:pPr>
            <w:r w:rsidRPr="0008308B">
              <w:rPr>
                <w:rFonts w:ascii="Arial Narrow" w:hAnsi="Arial Narrow" w:cs="宋体"/>
                <w:sz w:val="20"/>
                <w:szCs w:val="20"/>
              </w:rPr>
              <w:t>14,378,000.00</w:t>
            </w:r>
          </w:p>
        </w:tc>
        <w:tc>
          <w:tcPr>
            <w:tcW w:w="1830" w:type="dxa"/>
            <w:tcBorders>
              <w:top w:val="nil"/>
              <w:left w:val="nil"/>
              <w:bottom w:val="single" w:sz="4" w:space="0" w:color="auto"/>
              <w:right w:val="single" w:sz="4" w:space="0" w:color="auto"/>
            </w:tcBorders>
            <w:shd w:val="clear" w:color="auto" w:fill="auto"/>
            <w:vAlign w:val="center"/>
          </w:tcPr>
          <w:p w:rsidR="000B609E" w:rsidRPr="0008308B" w:rsidRDefault="00B220E1" w:rsidP="0008308B">
            <w:pPr>
              <w:spacing w:afterLines="0" w:after="0"/>
              <w:ind w:firstLineChars="0" w:firstLine="0"/>
              <w:jc w:val="right"/>
              <w:rPr>
                <w:rFonts w:ascii="Arial Narrow" w:hAnsi="Arial Narrow" w:cs="宋体"/>
                <w:sz w:val="20"/>
                <w:szCs w:val="20"/>
              </w:rPr>
            </w:pPr>
            <w:r w:rsidRPr="0008308B">
              <w:rPr>
                <w:rFonts w:ascii="Arial Narrow" w:hAnsi="Arial Narrow" w:cs="宋体"/>
                <w:sz w:val="20"/>
                <w:szCs w:val="20"/>
              </w:rPr>
              <w:t>26,524,000.00</w:t>
            </w:r>
          </w:p>
        </w:tc>
        <w:tc>
          <w:tcPr>
            <w:tcW w:w="1828" w:type="dxa"/>
            <w:tcBorders>
              <w:top w:val="nil"/>
              <w:left w:val="nil"/>
              <w:bottom w:val="single" w:sz="4" w:space="0" w:color="auto"/>
              <w:right w:val="single" w:sz="4" w:space="0" w:color="auto"/>
            </w:tcBorders>
            <w:shd w:val="clear" w:color="auto" w:fill="auto"/>
            <w:vAlign w:val="center"/>
          </w:tcPr>
          <w:p w:rsidR="000B609E" w:rsidRPr="0008308B" w:rsidRDefault="00B220E1" w:rsidP="0008308B">
            <w:pPr>
              <w:spacing w:afterLines="0" w:after="0"/>
              <w:ind w:firstLineChars="0" w:firstLine="0"/>
              <w:jc w:val="right"/>
              <w:rPr>
                <w:rFonts w:ascii="Arial Narrow" w:hAnsi="Arial Narrow" w:cs="宋体"/>
                <w:sz w:val="20"/>
                <w:szCs w:val="20"/>
              </w:rPr>
            </w:pPr>
            <w:r w:rsidRPr="0008308B">
              <w:rPr>
                <w:rFonts w:ascii="Arial Narrow" w:hAnsi="Arial Narrow" w:cs="宋体"/>
                <w:sz w:val="20"/>
                <w:szCs w:val="20"/>
              </w:rPr>
              <w:t>14,378,000.00</w:t>
            </w:r>
          </w:p>
        </w:tc>
        <w:tc>
          <w:tcPr>
            <w:tcW w:w="2268" w:type="dxa"/>
            <w:tcBorders>
              <w:top w:val="nil"/>
              <w:left w:val="nil"/>
              <w:bottom w:val="single" w:sz="4" w:space="0" w:color="auto"/>
            </w:tcBorders>
            <w:shd w:val="clear" w:color="auto" w:fill="auto"/>
            <w:vAlign w:val="center"/>
          </w:tcPr>
          <w:p w:rsidR="000B609E" w:rsidRPr="0008308B" w:rsidRDefault="00B220E1" w:rsidP="0008308B">
            <w:pPr>
              <w:spacing w:afterLines="0" w:after="0"/>
              <w:ind w:firstLineChars="0" w:firstLine="0"/>
              <w:jc w:val="right"/>
              <w:rPr>
                <w:rFonts w:ascii="Arial Narrow" w:hAnsi="Arial Narrow" w:cs="宋体"/>
                <w:sz w:val="20"/>
                <w:szCs w:val="20"/>
              </w:rPr>
            </w:pPr>
            <w:r w:rsidRPr="0008308B">
              <w:rPr>
                <w:rFonts w:ascii="Arial Narrow" w:hAnsi="Arial Narrow" w:cs="宋体"/>
                <w:sz w:val="20"/>
                <w:szCs w:val="20"/>
              </w:rPr>
              <w:t>26,524,000.00</w:t>
            </w:r>
          </w:p>
        </w:tc>
      </w:tr>
      <w:tr w:rsidR="000B609E">
        <w:trPr>
          <w:trHeight w:hRule="exact" w:val="454"/>
          <w:jc w:val="center"/>
        </w:trPr>
        <w:tc>
          <w:tcPr>
            <w:tcW w:w="2271"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kern w:val="0"/>
                <w:sz w:val="18"/>
                <w:szCs w:val="18"/>
              </w:rPr>
            </w:pPr>
            <w:r>
              <w:rPr>
                <w:rFonts w:ascii="Times New Roman" w:eastAsia="宋体" w:hAnsi="Times New Roman" w:cs="Times New Roman" w:hint="eastAsia"/>
                <w:b/>
                <w:bCs/>
                <w:kern w:val="0"/>
                <w:sz w:val="18"/>
                <w:szCs w:val="18"/>
              </w:rPr>
              <w:t>Subtotal</w:t>
            </w:r>
          </w:p>
        </w:tc>
        <w:tc>
          <w:tcPr>
            <w:tcW w:w="182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sz w:val="20"/>
                <w:szCs w:val="20"/>
              </w:rPr>
              <w:t>2,754,804,608.35</w:t>
            </w:r>
          </w:p>
        </w:tc>
        <w:tc>
          <w:tcPr>
            <w:tcW w:w="18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 3,761,373,357.77 </w:t>
            </w:r>
          </w:p>
        </w:tc>
        <w:tc>
          <w:tcPr>
            <w:tcW w:w="182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b/>
                <w:sz w:val="20"/>
                <w:szCs w:val="20"/>
                <w:lang w:val="en-GB"/>
              </w:rPr>
            </w:pPr>
            <w:r>
              <w:rPr>
                <w:rFonts w:ascii="Arial Narrow" w:hAnsi="Arial Narrow"/>
                <w:b/>
                <w:sz w:val="20"/>
                <w:szCs w:val="20"/>
              </w:rPr>
              <w:t>2,711,723,999.49</w:t>
            </w:r>
          </w:p>
        </w:tc>
        <w:tc>
          <w:tcPr>
            <w:tcW w:w="226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b/>
                <w:sz w:val="20"/>
                <w:szCs w:val="20"/>
                <w:lang w:val="en-GB"/>
              </w:rPr>
            </w:pPr>
            <w:r>
              <w:rPr>
                <w:rFonts w:ascii="Arial Narrow" w:hAnsi="Arial Narrow"/>
                <w:b/>
                <w:sz w:val="20"/>
                <w:szCs w:val="20"/>
                <w:lang w:val="en-GB"/>
              </w:rPr>
              <w:t xml:space="preserve"> 3,716,412,083.22 </w:t>
            </w:r>
          </w:p>
        </w:tc>
      </w:tr>
      <w:tr w:rsidR="000B609E">
        <w:trPr>
          <w:trHeight w:hRule="exact" w:val="454"/>
          <w:jc w:val="center"/>
        </w:trPr>
        <w:tc>
          <w:tcPr>
            <w:tcW w:w="2271"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proofErr w:type="spellStart"/>
            <w:proofErr w:type="gramStart"/>
            <w:r>
              <w:rPr>
                <w:rFonts w:ascii="Times New Roman" w:eastAsia="宋体" w:hAnsi="Times New Roman" w:cs="Times New Roman" w:hint="eastAsia"/>
                <w:kern w:val="0"/>
                <w:sz w:val="18"/>
                <w:szCs w:val="18"/>
              </w:rPr>
              <w:t>Add:a</w:t>
            </w:r>
            <w:r>
              <w:rPr>
                <w:rFonts w:ascii="Times New Roman" w:eastAsia="宋体" w:hAnsi="Times New Roman" w:cs="Times New Roman"/>
                <w:kern w:val="0"/>
                <w:sz w:val="18"/>
                <w:szCs w:val="18"/>
              </w:rPr>
              <w:t>ccrued</w:t>
            </w:r>
            <w:proofErr w:type="spellEnd"/>
            <w:proofErr w:type="gramEnd"/>
            <w:r>
              <w:rPr>
                <w:rFonts w:ascii="Times New Roman" w:eastAsia="宋体" w:hAnsi="Times New Roman" w:cs="Times New Roman"/>
                <w:kern w:val="0"/>
                <w:sz w:val="18"/>
                <w:szCs w:val="18"/>
              </w:rPr>
              <w:t xml:space="preserve"> Interest</w:t>
            </w:r>
          </w:p>
        </w:tc>
        <w:tc>
          <w:tcPr>
            <w:tcW w:w="1829"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400"/>
              <w:jc w:val="right"/>
              <w:rPr>
                <w:rFonts w:ascii="Arial Narrow" w:hAnsi="Arial Narrow" w:cs="宋体"/>
                <w:sz w:val="20"/>
                <w:szCs w:val="20"/>
                <w:lang w:bidi="ar"/>
              </w:rPr>
            </w:pPr>
            <w:r>
              <w:rPr>
                <w:rFonts w:ascii="Arial Narrow" w:hAnsi="Arial Narrow" w:cs="宋体" w:hint="eastAsia"/>
                <w:sz w:val="20"/>
                <w:szCs w:val="20"/>
                <w:lang w:bidi="ar"/>
              </w:rPr>
              <w:t>-</w:t>
            </w:r>
          </w:p>
        </w:tc>
        <w:tc>
          <w:tcPr>
            <w:tcW w:w="1830"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400"/>
              <w:jc w:val="right"/>
              <w:rPr>
                <w:rFonts w:ascii="Arial Narrow" w:eastAsia="宋体" w:hAnsi="Arial Narrow" w:cs="宋体"/>
                <w:snapToGrid w:val="0"/>
                <w:kern w:val="0"/>
                <w:sz w:val="20"/>
                <w:szCs w:val="20"/>
                <w:lang w:bidi="ar"/>
              </w:rPr>
            </w:pPr>
            <w:r>
              <w:rPr>
                <w:rFonts w:ascii="Arial Narrow" w:eastAsia="宋体" w:hAnsi="Arial Narrow" w:cs="宋体" w:hint="eastAsia"/>
                <w:snapToGrid w:val="0"/>
                <w:kern w:val="0"/>
                <w:sz w:val="20"/>
                <w:szCs w:val="20"/>
                <w:lang w:bidi="ar"/>
              </w:rPr>
              <w:t>-</w:t>
            </w:r>
          </w:p>
        </w:tc>
        <w:tc>
          <w:tcPr>
            <w:tcW w:w="1828"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hAnsi="Arial Narrow"/>
                <w:b/>
                <w:sz w:val="20"/>
                <w:szCs w:val="20"/>
              </w:rPr>
            </w:pPr>
            <w:r>
              <w:rPr>
                <w:rFonts w:ascii="Arial Narrow" w:hAnsi="Arial Narrow" w:hint="eastAsia"/>
                <w:b/>
                <w:sz w:val="20"/>
                <w:szCs w:val="20"/>
              </w:rPr>
              <w:t>-</w:t>
            </w:r>
          </w:p>
        </w:tc>
        <w:tc>
          <w:tcPr>
            <w:tcW w:w="2268"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hAnsi="Arial Narrow"/>
                <w:b/>
                <w:sz w:val="20"/>
                <w:szCs w:val="20"/>
              </w:rPr>
            </w:pPr>
            <w:r>
              <w:rPr>
                <w:rFonts w:ascii="Arial Narrow" w:hAnsi="Arial Narrow" w:hint="eastAsia"/>
                <w:b/>
                <w:sz w:val="20"/>
                <w:szCs w:val="20"/>
              </w:rPr>
              <w:t>-</w:t>
            </w:r>
          </w:p>
        </w:tc>
      </w:tr>
      <w:tr w:rsidR="000B609E">
        <w:trPr>
          <w:trHeight w:hRule="exact" w:val="454"/>
          <w:jc w:val="center"/>
        </w:trPr>
        <w:tc>
          <w:tcPr>
            <w:tcW w:w="2271"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Total</w:t>
            </w:r>
          </w:p>
        </w:tc>
        <w:tc>
          <w:tcPr>
            <w:tcW w:w="1829"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sz w:val="20"/>
                <w:szCs w:val="20"/>
              </w:rPr>
              <w:t>2,754,804,608.35</w:t>
            </w:r>
          </w:p>
        </w:tc>
        <w:tc>
          <w:tcPr>
            <w:tcW w:w="183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 3,761,373,357.77</w:t>
            </w:r>
          </w:p>
        </w:tc>
        <w:tc>
          <w:tcPr>
            <w:tcW w:w="1828"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b/>
                <w:sz w:val="20"/>
                <w:szCs w:val="20"/>
                <w:lang w:val="en-GB"/>
              </w:rPr>
            </w:pPr>
            <w:r>
              <w:rPr>
                <w:rFonts w:ascii="Arial Narrow" w:hAnsi="Arial Narrow"/>
                <w:b/>
                <w:sz w:val="20"/>
                <w:szCs w:val="20"/>
              </w:rPr>
              <w:t>2,711,723,999.49</w:t>
            </w:r>
          </w:p>
        </w:tc>
        <w:tc>
          <w:tcPr>
            <w:tcW w:w="2268"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hAnsi="Arial Narrow"/>
                <w:b/>
                <w:sz w:val="20"/>
                <w:szCs w:val="20"/>
                <w:lang w:val="en-GB"/>
              </w:rPr>
            </w:pPr>
            <w:r>
              <w:rPr>
                <w:rFonts w:ascii="Arial Narrow" w:hAnsi="Arial Narrow"/>
                <w:b/>
                <w:sz w:val="20"/>
                <w:szCs w:val="20"/>
                <w:lang w:val="en-GB"/>
              </w:rPr>
              <w:t xml:space="preserve"> 3,716,412,083.22 </w:t>
            </w:r>
          </w:p>
        </w:tc>
      </w:tr>
    </w:tbl>
    <w:p w:rsidR="000B609E" w:rsidRDefault="00B220E1" w:rsidP="00077B45">
      <w:pPr>
        <w:spacing w:beforeLines="100" w:before="312" w:after="156" w:line="360" w:lineRule="auto"/>
        <w:ind w:firstLineChars="300" w:firstLine="720"/>
        <w:rPr>
          <w:rFonts w:ascii="Times New Roman" w:hAnsi="Times New Roman" w:cs="Times New Roman"/>
          <w:sz w:val="24"/>
          <w:szCs w:val="24"/>
        </w:rPr>
      </w:pPr>
      <w:r>
        <w:rPr>
          <w:rFonts w:ascii="Times New Roman" w:hAnsi="Times New Roman" w:cs="Times New Roman" w:hint="eastAsia"/>
          <w:sz w:val="24"/>
          <w:szCs w:val="24"/>
        </w:rPr>
        <w:t>Note:</w:t>
      </w:r>
      <w:r>
        <w:rPr>
          <w:rFonts w:ascii="Times New Roman" w:hAnsi="Times New Roman" w:cs="Times New Roman"/>
          <w:sz w:val="24"/>
          <w:szCs w:val="24"/>
        </w:rPr>
        <w:t xml:space="preserve">(1) The Group is required to place mandatory reserves with the PBOC, which are not allowed to be used in the Group’s daily operations. </w:t>
      </w:r>
      <w:r>
        <w:rPr>
          <w:rFonts w:ascii="Times New Roman" w:hAnsi="Times New Roman" w:cs="Times New Roman" w:hint="eastAsia"/>
          <w:sz w:val="24"/>
          <w:szCs w:val="24"/>
        </w:rPr>
        <w:t>In 2020, t</w:t>
      </w:r>
      <w:r>
        <w:rPr>
          <w:rFonts w:ascii="Times New Roman" w:hAnsi="Times New Roman" w:cs="Times New Roman"/>
          <w:sz w:val="24"/>
          <w:szCs w:val="24"/>
        </w:rPr>
        <w:t xml:space="preserve">he Bank’s reserve rate for deposits denominated in RMB </w:t>
      </w:r>
      <w:r>
        <w:rPr>
          <w:rFonts w:ascii="Times New Roman" w:hAnsi="Times New Roman" w:cs="Times New Roman" w:hint="eastAsia"/>
          <w:sz w:val="24"/>
          <w:szCs w:val="24"/>
        </w:rPr>
        <w:t>is</w:t>
      </w:r>
      <w:r>
        <w:rPr>
          <w:rFonts w:ascii="Times New Roman" w:hAnsi="Times New Roman" w:cs="Times New Roman"/>
          <w:sz w:val="24"/>
          <w:szCs w:val="24"/>
        </w:rPr>
        <w:t xml:space="preserve"> </w:t>
      </w:r>
      <w:r>
        <w:rPr>
          <w:rFonts w:ascii="Times New Roman" w:hAnsi="Times New Roman" w:cs="Times New Roman" w:hint="eastAsia"/>
          <w:sz w:val="24"/>
          <w:szCs w:val="24"/>
        </w:rPr>
        <w:t>7.5</w:t>
      </w:r>
      <w:r>
        <w:rPr>
          <w:rFonts w:ascii="Times New Roman" w:hAnsi="Times New Roman" w:cs="Times New Roman"/>
          <w:sz w:val="24"/>
          <w:szCs w:val="24"/>
        </w:rPr>
        <w:t>%. The reserve rate for deposits denominated in foreign currencies is 5%.</w:t>
      </w:r>
      <w:r>
        <w:rPr>
          <w:rFonts w:ascii="Times New Roman" w:hAnsi="Times New Roman" w:cs="Times New Roman" w:hint="eastAsia"/>
          <w:sz w:val="24"/>
          <w:szCs w:val="24"/>
        </w:rPr>
        <w:t xml:space="preserve"> (2) </w:t>
      </w:r>
      <w:r>
        <w:rPr>
          <w:rFonts w:ascii="Times New Roman" w:hAnsi="Times New Roman" w:cs="Times New Roman"/>
          <w:sz w:val="24"/>
          <w:szCs w:val="24"/>
        </w:rPr>
        <w:t xml:space="preserve">Excess reserves with the central bank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the </w:t>
      </w:r>
      <w:r>
        <w:rPr>
          <w:rFonts w:ascii="Times New Roman" w:hAnsi="Times New Roman" w:cs="Times New Roman" w:hint="eastAsia"/>
          <w:sz w:val="24"/>
          <w:szCs w:val="24"/>
        </w:rPr>
        <w:t>funds deposited with the People</w:t>
      </w:r>
      <w:r>
        <w:rPr>
          <w:rFonts w:ascii="Times New Roman" w:hAnsi="Times New Roman" w:cs="Times New Roman"/>
          <w:sz w:val="24"/>
          <w:szCs w:val="24"/>
        </w:rPr>
        <w:t>’</w:t>
      </w:r>
      <w:r>
        <w:rPr>
          <w:rFonts w:ascii="Times New Roman" w:hAnsi="Times New Roman" w:cs="Times New Roman" w:hint="eastAsia"/>
          <w:sz w:val="24"/>
          <w:szCs w:val="24"/>
        </w:rPr>
        <w:t>s Bank of China by the group for liquidation. (3) Other funds deposited with the central bank is mainly the deposit of central bank</w:t>
      </w:r>
      <w:r>
        <w:rPr>
          <w:rFonts w:ascii="Times New Roman" w:hAnsi="Times New Roman" w:cs="Times New Roman"/>
          <w:sz w:val="24"/>
          <w:szCs w:val="24"/>
        </w:rPr>
        <w:t>’</w:t>
      </w:r>
      <w:r>
        <w:rPr>
          <w:rFonts w:ascii="Times New Roman" w:hAnsi="Times New Roman" w:cs="Times New Roman" w:hint="eastAsia"/>
          <w:sz w:val="24"/>
          <w:szCs w:val="24"/>
        </w:rPr>
        <w:t>s fiscal deposit.</w:t>
      </w:r>
    </w:p>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 xml:space="preserve">2. </w:t>
      </w:r>
      <w:r>
        <w:rPr>
          <w:rFonts w:ascii="Times New Roman" w:hAnsi="Times New Roman" w:cs="Times New Roman"/>
          <w:sz w:val="24"/>
          <w:szCs w:val="24"/>
        </w:rPr>
        <w:t>Due from banks and other financial institutions</w:t>
      </w:r>
    </w:p>
    <w:tbl>
      <w:tblPr>
        <w:tblW w:w="10041" w:type="dxa"/>
        <w:jc w:val="center"/>
        <w:tblLayout w:type="fixed"/>
        <w:tblLook w:val="04A0" w:firstRow="1" w:lastRow="0" w:firstColumn="1" w:lastColumn="0" w:noHBand="0" w:noVBand="1"/>
      </w:tblPr>
      <w:tblGrid>
        <w:gridCol w:w="2698"/>
        <w:gridCol w:w="1750"/>
        <w:gridCol w:w="1741"/>
        <w:gridCol w:w="1726"/>
        <w:gridCol w:w="2126"/>
      </w:tblGrid>
      <w:tr w:rsidR="000B609E">
        <w:trPr>
          <w:trHeight w:val="252"/>
          <w:tblHeader/>
          <w:jc w:val="center"/>
        </w:trPr>
        <w:tc>
          <w:tcPr>
            <w:tcW w:w="2698" w:type="dxa"/>
            <w:vMerge w:val="restart"/>
            <w:tcBorders>
              <w:top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Items</w:t>
            </w:r>
          </w:p>
        </w:tc>
        <w:tc>
          <w:tcPr>
            <w:tcW w:w="3491" w:type="dxa"/>
            <w:gridSpan w:val="2"/>
            <w:tcBorders>
              <w:top w:val="double" w:sz="4" w:space="0" w:color="auto"/>
              <w:left w:val="nil"/>
              <w:bottom w:val="single" w:sz="4" w:space="0" w:color="auto"/>
              <w:right w:val="single" w:sz="4" w:space="0" w:color="000000"/>
            </w:tcBorders>
            <w:shd w:val="clear" w:color="auto" w:fill="auto"/>
            <w:vAlign w:val="bottom"/>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852" w:type="dxa"/>
            <w:gridSpan w:val="2"/>
            <w:tcBorders>
              <w:top w:val="double" w:sz="4" w:space="0" w:color="auto"/>
              <w:left w:val="nil"/>
              <w:bottom w:val="single" w:sz="4" w:space="0" w:color="auto"/>
            </w:tcBorders>
            <w:shd w:val="clear" w:color="auto" w:fill="auto"/>
            <w:vAlign w:val="bottom"/>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280"/>
          <w:tblHeader/>
          <w:jc w:val="center"/>
        </w:trPr>
        <w:tc>
          <w:tcPr>
            <w:tcW w:w="2698" w:type="dxa"/>
            <w:vMerge/>
            <w:tcBorders>
              <w:bottom w:val="single" w:sz="4" w:space="0" w:color="auto"/>
              <w:right w:val="single" w:sz="4" w:space="0" w:color="auto"/>
            </w:tcBorders>
            <w:vAlign w:val="bottom"/>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75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2020-12-31</w:t>
            </w:r>
          </w:p>
        </w:tc>
        <w:tc>
          <w:tcPr>
            <w:tcW w:w="174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2019-12-31</w:t>
            </w:r>
          </w:p>
        </w:tc>
        <w:tc>
          <w:tcPr>
            <w:tcW w:w="172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2020-12-31</w:t>
            </w:r>
          </w:p>
        </w:tc>
        <w:tc>
          <w:tcPr>
            <w:tcW w:w="2126"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2019-12-31</w:t>
            </w:r>
          </w:p>
        </w:tc>
      </w:tr>
      <w:tr w:rsidR="000B609E">
        <w:trPr>
          <w:trHeight w:hRule="exact" w:val="454"/>
          <w:jc w:val="center"/>
        </w:trPr>
        <w:tc>
          <w:tcPr>
            <w:tcW w:w="269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Due from domestic banks</w:t>
            </w:r>
          </w:p>
        </w:tc>
        <w:tc>
          <w:tcPr>
            <w:tcW w:w="175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sz w:val="20"/>
                <w:szCs w:val="20"/>
              </w:rPr>
              <w:t>1,528,930,354.98</w:t>
            </w:r>
          </w:p>
        </w:tc>
        <w:tc>
          <w:tcPr>
            <w:tcW w:w="174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sz w:val="20"/>
                <w:szCs w:val="20"/>
                <w:lang w:val="en-GB"/>
              </w:rPr>
              <w:t>2,257,067,117.89</w:t>
            </w:r>
          </w:p>
        </w:tc>
        <w:tc>
          <w:tcPr>
            <w:tcW w:w="172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sz w:val="20"/>
                <w:szCs w:val="20"/>
              </w:rPr>
              <w:t>1,559,206,341.92</w:t>
            </w:r>
          </w:p>
        </w:tc>
        <w:tc>
          <w:tcPr>
            <w:tcW w:w="212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sz w:val="20"/>
                <w:szCs w:val="20"/>
                <w:lang w:val="en-GB"/>
              </w:rPr>
              <w:t>2,292,297,317.95</w:t>
            </w:r>
          </w:p>
        </w:tc>
      </w:tr>
      <w:tr w:rsidR="000B609E">
        <w:trPr>
          <w:trHeight w:hRule="exact" w:val="454"/>
          <w:jc w:val="center"/>
        </w:trPr>
        <w:tc>
          <w:tcPr>
            <w:tcW w:w="269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Due from overseas banks</w:t>
            </w:r>
          </w:p>
        </w:tc>
        <w:tc>
          <w:tcPr>
            <w:tcW w:w="175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sz w:val="20"/>
                <w:szCs w:val="20"/>
              </w:rPr>
              <w:t xml:space="preserve">-   </w:t>
            </w:r>
          </w:p>
        </w:tc>
        <w:tc>
          <w:tcPr>
            <w:tcW w:w="174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sz w:val="20"/>
                <w:szCs w:val="20"/>
                <w:lang w:val="en-GB"/>
              </w:rPr>
              <w:t>2,085,723.97</w:t>
            </w:r>
          </w:p>
        </w:tc>
        <w:tc>
          <w:tcPr>
            <w:tcW w:w="172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hint="eastAsia"/>
                <w:sz w:val="20"/>
                <w:szCs w:val="20"/>
              </w:rPr>
              <w:t>-</w:t>
            </w:r>
          </w:p>
        </w:tc>
        <w:tc>
          <w:tcPr>
            <w:tcW w:w="212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sz w:val="20"/>
                <w:szCs w:val="20"/>
                <w:lang w:val="en-GB"/>
              </w:rPr>
              <w:t>2,085,723.97</w:t>
            </w:r>
          </w:p>
        </w:tc>
      </w:tr>
      <w:tr w:rsidR="000B609E">
        <w:trPr>
          <w:trHeight w:hRule="exact" w:val="907"/>
          <w:jc w:val="center"/>
        </w:trPr>
        <w:tc>
          <w:tcPr>
            <w:tcW w:w="269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 xml:space="preserve">Due from overseas other </w:t>
            </w:r>
          </w:p>
          <w:p w:rsidR="000B609E" w:rsidRDefault="00B220E1">
            <w:pPr>
              <w:spacing w:afterLines="0" w:after="0"/>
              <w:ind w:firstLineChars="0" w:firstLine="0"/>
              <w:jc w:val="both"/>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financial institutions</w:t>
            </w:r>
          </w:p>
        </w:tc>
        <w:tc>
          <w:tcPr>
            <w:tcW w:w="1750"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hAnsi="Arial Narrow" w:cs="宋体"/>
                <w:sz w:val="20"/>
                <w:szCs w:val="20"/>
                <w:lang w:val="en-GB"/>
              </w:rPr>
            </w:pPr>
            <w:r>
              <w:rPr>
                <w:rFonts w:ascii="Arial Narrow" w:hAnsi="Arial Narrow" w:cs="宋体" w:hint="eastAsia"/>
                <w:sz w:val="20"/>
                <w:szCs w:val="20"/>
                <w:lang w:val="en-GB"/>
              </w:rPr>
              <w:t>-</w:t>
            </w:r>
          </w:p>
        </w:tc>
        <w:tc>
          <w:tcPr>
            <w:tcW w:w="1741"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hAnsi="Arial Narrow" w:cs="宋体"/>
                <w:sz w:val="20"/>
                <w:szCs w:val="20"/>
                <w:lang w:val="en-GB"/>
              </w:rPr>
            </w:pPr>
            <w:r>
              <w:rPr>
                <w:rFonts w:ascii="Arial Narrow" w:hAnsi="Arial Narrow" w:cs="宋体" w:hint="eastAsia"/>
                <w:sz w:val="20"/>
                <w:szCs w:val="20"/>
                <w:lang w:val="en-GB"/>
              </w:rPr>
              <w:t>-</w:t>
            </w:r>
          </w:p>
        </w:tc>
        <w:tc>
          <w:tcPr>
            <w:tcW w:w="1726"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hAnsi="Arial Narrow" w:cs="宋体"/>
                <w:sz w:val="20"/>
                <w:szCs w:val="20"/>
                <w:lang w:val="en-GB"/>
              </w:rPr>
            </w:pPr>
            <w:r>
              <w:rPr>
                <w:rFonts w:ascii="Arial Narrow" w:hAnsi="Arial Narrow" w:cs="宋体" w:hint="eastAsia"/>
                <w:sz w:val="20"/>
                <w:szCs w:val="20"/>
                <w:lang w:val="en-GB"/>
              </w:rPr>
              <w:t>-</w:t>
            </w:r>
          </w:p>
        </w:tc>
        <w:tc>
          <w:tcPr>
            <w:tcW w:w="2126"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hAnsi="Arial Narrow" w:cs="宋体"/>
                <w:sz w:val="20"/>
                <w:szCs w:val="20"/>
                <w:lang w:val="en-GB"/>
              </w:rPr>
            </w:pPr>
            <w:r>
              <w:rPr>
                <w:rFonts w:ascii="Arial Narrow" w:hAnsi="Arial Narrow" w:cs="宋体" w:hint="eastAsia"/>
                <w:sz w:val="20"/>
                <w:szCs w:val="20"/>
                <w:lang w:val="en-GB"/>
              </w:rPr>
              <w:t>-</w:t>
            </w:r>
          </w:p>
        </w:tc>
      </w:tr>
      <w:tr w:rsidR="000B609E">
        <w:trPr>
          <w:trHeight w:hRule="exact" w:val="454"/>
          <w:jc w:val="center"/>
        </w:trPr>
        <w:tc>
          <w:tcPr>
            <w:tcW w:w="269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Guaranteed Deposits</w:t>
            </w:r>
          </w:p>
        </w:tc>
        <w:tc>
          <w:tcPr>
            <w:tcW w:w="175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sz w:val="20"/>
                <w:szCs w:val="20"/>
                <w:lang w:val="en-GB"/>
              </w:rPr>
              <w:t xml:space="preserve"> </w:t>
            </w:r>
            <w:r>
              <w:rPr>
                <w:rFonts w:ascii="Arial Narrow" w:hAnsi="Arial Narrow" w:cs="宋体"/>
                <w:sz w:val="20"/>
                <w:szCs w:val="20"/>
              </w:rPr>
              <w:t>8,880,000.00</w:t>
            </w:r>
            <w:r>
              <w:rPr>
                <w:rFonts w:ascii="Arial Narrow" w:hAnsi="Arial Narrow" w:cs="宋体"/>
                <w:sz w:val="20"/>
                <w:szCs w:val="20"/>
                <w:lang w:val="en-GB"/>
              </w:rPr>
              <w:t xml:space="preserve"> </w:t>
            </w:r>
          </w:p>
        </w:tc>
        <w:tc>
          <w:tcPr>
            <w:tcW w:w="174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sz w:val="20"/>
                <w:szCs w:val="20"/>
                <w:lang w:val="en-GB"/>
              </w:rPr>
              <w:t xml:space="preserve"> 8,880,000.00 </w:t>
            </w:r>
          </w:p>
        </w:tc>
        <w:tc>
          <w:tcPr>
            <w:tcW w:w="172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sz w:val="20"/>
                <w:szCs w:val="20"/>
              </w:rPr>
              <w:t>8,880,000.00</w:t>
            </w:r>
          </w:p>
        </w:tc>
        <w:tc>
          <w:tcPr>
            <w:tcW w:w="212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sz w:val="20"/>
                <w:szCs w:val="20"/>
                <w:lang w:val="en-GB"/>
              </w:rPr>
            </w:pPr>
            <w:r>
              <w:rPr>
                <w:rFonts w:ascii="Arial Narrow" w:hAnsi="Arial Narrow" w:cs="宋体"/>
                <w:sz w:val="20"/>
                <w:szCs w:val="20"/>
                <w:lang w:val="en-GB"/>
              </w:rPr>
              <w:t xml:space="preserve"> 8,880,000.00 </w:t>
            </w:r>
          </w:p>
        </w:tc>
      </w:tr>
      <w:tr w:rsidR="000B609E">
        <w:trPr>
          <w:trHeight w:hRule="exact" w:val="454"/>
          <w:jc w:val="center"/>
        </w:trPr>
        <w:tc>
          <w:tcPr>
            <w:tcW w:w="269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b/>
                <w:kern w:val="0"/>
                <w:sz w:val="18"/>
                <w:szCs w:val="18"/>
              </w:rPr>
              <w:t>Subtotal</w:t>
            </w:r>
          </w:p>
        </w:tc>
        <w:tc>
          <w:tcPr>
            <w:tcW w:w="175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宋体"/>
                <w:b/>
                <w:color w:val="000000"/>
                <w:sz w:val="20"/>
                <w:szCs w:val="20"/>
              </w:rPr>
              <w:t>1,537,810,354.98</w:t>
            </w:r>
          </w:p>
        </w:tc>
        <w:tc>
          <w:tcPr>
            <w:tcW w:w="174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2,268,032,841.86 </w:t>
            </w:r>
          </w:p>
        </w:tc>
        <w:tc>
          <w:tcPr>
            <w:tcW w:w="172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宋体"/>
                <w:b/>
                <w:color w:val="000000"/>
                <w:sz w:val="20"/>
                <w:szCs w:val="20"/>
              </w:rPr>
              <w:t>1,568,086,341.92</w:t>
            </w:r>
          </w:p>
        </w:tc>
        <w:tc>
          <w:tcPr>
            <w:tcW w:w="212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2,303,263,041.92 </w:t>
            </w:r>
          </w:p>
        </w:tc>
      </w:tr>
      <w:tr w:rsidR="000B609E">
        <w:trPr>
          <w:trHeight w:hRule="exact" w:val="454"/>
          <w:jc w:val="center"/>
        </w:trPr>
        <w:tc>
          <w:tcPr>
            <w:tcW w:w="269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color w:val="000000"/>
                <w:kern w:val="0"/>
                <w:sz w:val="18"/>
                <w:szCs w:val="18"/>
              </w:rPr>
            </w:pPr>
            <w:proofErr w:type="spellStart"/>
            <w:proofErr w:type="gramStart"/>
            <w:r>
              <w:rPr>
                <w:rFonts w:ascii="Times New Roman" w:eastAsia="宋体" w:hAnsi="Times New Roman" w:cs="Times New Roman" w:hint="eastAsia"/>
                <w:kern w:val="0"/>
                <w:sz w:val="18"/>
                <w:szCs w:val="18"/>
              </w:rPr>
              <w:t>Add:a</w:t>
            </w:r>
            <w:r>
              <w:rPr>
                <w:rFonts w:ascii="Times New Roman" w:eastAsia="宋体" w:hAnsi="Times New Roman" w:cs="Times New Roman"/>
                <w:kern w:val="0"/>
                <w:sz w:val="18"/>
                <w:szCs w:val="18"/>
              </w:rPr>
              <w:t>ccrued</w:t>
            </w:r>
            <w:proofErr w:type="spellEnd"/>
            <w:proofErr w:type="gramEnd"/>
            <w:r>
              <w:rPr>
                <w:rFonts w:ascii="Times New Roman" w:eastAsia="宋体" w:hAnsi="Times New Roman" w:cs="Times New Roman"/>
                <w:kern w:val="0"/>
                <w:sz w:val="18"/>
                <w:szCs w:val="18"/>
              </w:rPr>
              <w:t xml:space="preserve"> Interest</w:t>
            </w:r>
          </w:p>
        </w:tc>
        <w:tc>
          <w:tcPr>
            <w:tcW w:w="175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9,840,083.50</w:t>
            </w:r>
          </w:p>
        </w:tc>
        <w:tc>
          <w:tcPr>
            <w:tcW w:w="174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30,829,429.73 </w:t>
            </w:r>
          </w:p>
        </w:tc>
        <w:tc>
          <w:tcPr>
            <w:tcW w:w="172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9,837,263.62</w:t>
            </w:r>
          </w:p>
        </w:tc>
        <w:tc>
          <w:tcPr>
            <w:tcW w:w="212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30,823,429.58 </w:t>
            </w:r>
          </w:p>
        </w:tc>
      </w:tr>
      <w:tr w:rsidR="000B609E">
        <w:trPr>
          <w:trHeight w:hRule="exact" w:val="454"/>
          <w:jc w:val="center"/>
        </w:trPr>
        <w:tc>
          <w:tcPr>
            <w:tcW w:w="269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color w:val="000000"/>
                <w:kern w:val="0"/>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inus: impairment allowance</w:t>
            </w:r>
          </w:p>
        </w:tc>
        <w:tc>
          <w:tcPr>
            <w:tcW w:w="175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63,530.61</w:t>
            </w:r>
          </w:p>
        </w:tc>
        <w:tc>
          <w:tcPr>
            <w:tcW w:w="1741"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72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63,530.61</w:t>
            </w:r>
          </w:p>
        </w:tc>
        <w:tc>
          <w:tcPr>
            <w:tcW w:w="2126"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r>
      <w:tr w:rsidR="000B609E">
        <w:trPr>
          <w:trHeight w:hRule="exact" w:val="454"/>
          <w:jc w:val="center"/>
        </w:trPr>
        <w:tc>
          <w:tcPr>
            <w:tcW w:w="2698"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Total</w:t>
            </w:r>
          </w:p>
        </w:tc>
        <w:tc>
          <w:tcPr>
            <w:tcW w:w="175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宋体"/>
                <w:b/>
                <w:color w:val="000000"/>
                <w:sz w:val="20"/>
                <w:szCs w:val="20"/>
              </w:rPr>
              <w:t>1,547,586,907.87</w:t>
            </w:r>
          </w:p>
        </w:tc>
        <w:tc>
          <w:tcPr>
            <w:tcW w:w="1741"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2,298,862,271.59</w:t>
            </w:r>
          </w:p>
        </w:tc>
        <w:tc>
          <w:tcPr>
            <w:tcW w:w="1726"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宋体"/>
                <w:b/>
                <w:color w:val="000000"/>
                <w:sz w:val="20"/>
                <w:szCs w:val="20"/>
              </w:rPr>
              <w:t>1,577,860,074.93</w:t>
            </w:r>
          </w:p>
        </w:tc>
        <w:tc>
          <w:tcPr>
            <w:tcW w:w="2126"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2,334,086,471.50</w:t>
            </w:r>
          </w:p>
        </w:tc>
      </w:tr>
    </w:tbl>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3. Lending funds</w:t>
      </w:r>
    </w:p>
    <w:p w:rsidR="000B609E" w:rsidRDefault="00B220E1">
      <w:pPr>
        <w:pStyle w:val="11"/>
        <w:numPr>
          <w:ilvl w:val="0"/>
          <w:numId w:val="19"/>
        </w:numPr>
        <w:spacing w:after="156"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T</w:t>
      </w:r>
      <w:r>
        <w:rPr>
          <w:rFonts w:ascii="Times New Roman" w:hAnsi="Times New Roman" w:cs="Times New Roman"/>
          <w:sz w:val="24"/>
          <w:szCs w:val="24"/>
        </w:rPr>
        <w:t>he analysis is based on where and which types the banks are:</w:t>
      </w:r>
    </w:p>
    <w:tbl>
      <w:tblPr>
        <w:tblStyle w:val="affd"/>
        <w:tblW w:w="10272" w:type="dxa"/>
        <w:tblInd w:w="-822" w:type="dxa"/>
        <w:tblLayout w:type="fixed"/>
        <w:tblLook w:val="04A0" w:firstRow="1" w:lastRow="0" w:firstColumn="1" w:lastColumn="0" w:noHBand="0" w:noVBand="1"/>
      </w:tblPr>
      <w:tblGrid>
        <w:gridCol w:w="2840"/>
        <w:gridCol w:w="1630"/>
        <w:gridCol w:w="1614"/>
        <w:gridCol w:w="1836"/>
        <w:gridCol w:w="2352"/>
      </w:tblGrid>
      <w:tr w:rsidR="000B609E">
        <w:trPr>
          <w:tblHeader/>
        </w:trPr>
        <w:tc>
          <w:tcPr>
            <w:tcW w:w="2840" w:type="dxa"/>
            <w:vMerge w:val="restart"/>
            <w:tcBorders>
              <w:top w:val="double" w:sz="4" w:space="0" w:color="auto"/>
              <w:left w:val="double" w:sz="4" w:space="0" w:color="FFFFFF" w:themeColor="background1"/>
            </w:tcBorders>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I</w:t>
            </w:r>
            <w:r>
              <w:rPr>
                <w:rFonts w:ascii="Times New Roman" w:hAnsi="Times New Roman" w:cs="Times New Roman"/>
                <w:b/>
                <w:sz w:val="18"/>
                <w:szCs w:val="18"/>
              </w:rPr>
              <w:t>tems</w:t>
            </w:r>
          </w:p>
        </w:tc>
        <w:tc>
          <w:tcPr>
            <w:tcW w:w="3244" w:type="dxa"/>
            <w:gridSpan w:val="2"/>
            <w:tcBorders>
              <w:top w:val="double" w:sz="4" w:space="0" w:color="auto"/>
            </w:tcBorders>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G</w:t>
            </w:r>
            <w:r>
              <w:rPr>
                <w:rFonts w:ascii="Times New Roman" w:hAnsi="Times New Roman" w:cs="Times New Roman"/>
                <w:b/>
                <w:sz w:val="18"/>
                <w:szCs w:val="18"/>
              </w:rPr>
              <w:t>roup</w:t>
            </w:r>
          </w:p>
        </w:tc>
        <w:tc>
          <w:tcPr>
            <w:tcW w:w="4188" w:type="dxa"/>
            <w:gridSpan w:val="2"/>
            <w:tcBorders>
              <w:top w:val="double" w:sz="4" w:space="0" w:color="auto"/>
              <w:right w:val="double" w:sz="4" w:space="0" w:color="FFFFFF" w:themeColor="background1"/>
            </w:tcBorders>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B</w:t>
            </w:r>
            <w:r>
              <w:rPr>
                <w:rFonts w:ascii="Times New Roman" w:hAnsi="Times New Roman" w:cs="Times New Roman"/>
                <w:b/>
                <w:sz w:val="18"/>
                <w:szCs w:val="18"/>
              </w:rPr>
              <w:t>ank</w:t>
            </w:r>
          </w:p>
        </w:tc>
      </w:tr>
      <w:tr w:rsidR="000B609E">
        <w:trPr>
          <w:tblHeader/>
        </w:trPr>
        <w:tc>
          <w:tcPr>
            <w:tcW w:w="2840" w:type="dxa"/>
            <w:vMerge/>
            <w:tcBorders>
              <w:left w:val="double" w:sz="4" w:space="0" w:color="FFFFFF" w:themeColor="background1"/>
            </w:tcBorders>
          </w:tcPr>
          <w:p w:rsidR="000B609E" w:rsidRDefault="000B609E">
            <w:pPr>
              <w:pStyle w:val="11"/>
              <w:spacing w:afterLines="0" w:after="0"/>
              <w:ind w:firstLineChars="0" w:firstLine="0"/>
              <w:rPr>
                <w:rFonts w:ascii="Times New Roman" w:hAnsi="Times New Roman" w:cs="Times New Roman"/>
                <w:b/>
                <w:sz w:val="18"/>
                <w:szCs w:val="18"/>
              </w:rPr>
            </w:pPr>
          </w:p>
        </w:tc>
        <w:tc>
          <w:tcPr>
            <w:tcW w:w="1630" w:type="dxa"/>
            <w:shd w:val="clear" w:color="auto" w:fill="auto"/>
            <w:vAlign w:val="center"/>
          </w:tcPr>
          <w:p w:rsidR="000B609E" w:rsidRDefault="00B220E1">
            <w:pPr>
              <w:spacing w:afterLines="0" w:after="0"/>
              <w:ind w:firstLine="361"/>
              <w:jc w:val="center"/>
              <w:rPr>
                <w:rFonts w:ascii="Times New Roman" w:hAnsi="Times New Roman" w:cs="Times New Roman"/>
                <w:b/>
                <w:sz w:val="18"/>
                <w:szCs w:val="18"/>
              </w:rPr>
            </w:pPr>
            <w:r>
              <w:rPr>
                <w:rFonts w:ascii="Times New Roman" w:eastAsia="宋体" w:hAnsi="Times New Roman" w:cs="Times New Roman" w:hint="eastAsia"/>
                <w:b/>
                <w:kern w:val="0"/>
                <w:sz w:val="18"/>
                <w:szCs w:val="18"/>
              </w:rPr>
              <w:t>2020-12-31</w:t>
            </w:r>
          </w:p>
        </w:tc>
        <w:tc>
          <w:tcPr>
            <w:tcW w:w="1614" w:type="dxa"/>
            <w:shd w:val="clear" w:color="auto" w:fill="auto"/>
            <w:vAlign w:val="center"/>
          </w:tcPr>
          <w:p w:rsidR="000B609E" w:rsidRDefault="00B220E1">
            <w:pPr>
              <w:spacing w:afterLines="0" w:after="0"/>
              <w:ind w:firstLine="361"/>
              <w:jc w:val="center"/>
              <w:rPr>
                <w:rFonts w:ascii="Times New Roman" w:hAnsi="Times New Roman" w:cs="Times New Roman"/>
                <w:b/>
                <w:sz w:val="18"/>
                <w:szCs w:val="18"/>
              </w:rPr>
            </w:pPr>
            <w:r>
              <w:rPr>
                <w:rFonts w:ascii="Times New Roman" w:eastAsia="宋体" w:hAnsi="Times New Roman" w:cs="Times New Roman" w:hint="eastAsia"/>
                <w:b/>
                <w:kern w:val="0"/>
                <w:sz w:val="18"/>
                <w:szCs w:val="18"/>
              </w:rPr>
              <w:t>2019-12-31</w:t>
            </w:r>
          </w:p>
        </w:tc>
        <w:tc>
          <w:tcPr>
            <w:tcW w:w="1836" w:type="dxa"/>
            <w:shd w:val="clear" w:color="auto" w:fill="auto"/>
            <w:vAlign w:val="center"/>
          </w:tcPr>
          <w:p w:rsidR="000B609E" w:rsidRDefault="00B220E1">
            <w:pPr>
              <w:spacing w:afterLines="0" w:after="0"/>
              <w:ind w:firstLine="361"/>
              <w:jc w:val="center"/>
              <w:rPr>
                <w:rFonts w:ascii="Times New Roman" w:hAnsi="Times New Roman" w:cs="Times New Roman"/>
                <w:b/>
                <w:sz w:val="18"/>
                <w:szCs w:val="18"/>
              </w:rPr>
            </w:pPr>
            <w:r>
              <w:rPr>
                <w:rFonts w:ascii="Times New Roman" w:eastAsia="宋体" w:hAnsi="Times New Roman" w:cs="Times New Roman" w:hint="eastAsia"/>
                <w:b/>
                <w:kern w:val="0"/>
                <w:sz w:val="18"/>
                <w:szCs w:val="18"/>
              </w:rPr>
              <w:t>2020-12-31</w:t>
            </w:r>
          </w:p>
        </w:tc>
        <w:tc>
          <w:tcPr>
            <w:tcW w:w="2352" w:type="dxa"/>
            <w:tcBorders>
              <w:right w:val="double" w:sz="4" w:space="0" w:color="FFFFFF" w:themeColor="background1"/>
            </w:tcBorders>
            <w:shd w:val="clear" w:color="auto" w:fill="auto"/>
            <w:vAlign w:val="center"/>
          </w:tcPr>
          <w:p w:rsidR="000B609E" w:rsidRDefault="00B220E1">
            <w:pPr>
              <w:spacing w:afterLines="0" w:after="0"/>
              <w:ind w:firstLine="361"/>
              <w:jc w:val="center"/>
              <w:rPr>
                <w:rFonts w:ascii="Times New Roman" w:hAnsi="Times New Roman" w:cs="Times New Roman"/>
                <w:b/>
                <w:sz w:val="18"/>
                <w:szCs w:val="18"/>
              </w:rPr>
            </w:pPr>
            <w:r>
              <w:rPr>
                <w:rFonts w:ascii="Times New Roman" w:eastAsia="宋体" w:hAnsi="Times New Roman" w:cs="Times New Roman" w:hint="eastAsia"/>
                <w:b/>
                <w:kern w:val="0"/>
                <w:sz w:val="18"/>
                <w:szCs w:val="18"/>
              </w:rPr>
              <w:t>2019-12-31</w:t>
            </w:r>
          </w:p>
        </w:tc>
      </w:tr>
      <w:tr w:rsidR="000B609E">
        <w:trPr>
          <w:trHeight w:hRule="exact" w:val="454"/>
        </w:trPr>
        <w:tc>
          <w:tcPr>
            <w:tcW w:w="2840" w:type="dxa"/>
            <w:tcBorders>
              <w:left w:val="double" w:sz="4" w:space="0" w:color="FFFFFF" w:themeColor="background1"/>
            </w:tcBorders>
            <w:vAlign w:val="center"/>
          </w:tcPr>
          <w:p w:rsidR="000B609E" w:rsidRDefault="00B220E1">
            <w:pPr>
              <w:spacing w:afterLines="0" w:after="0"/>
              <w:ind w:firstLineChars="0" w:firstLine="0"/>
              <w:jc w:val="both"/>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L</w:t>
            </w:r>
            <w:r>
              <w:rPr>
                <w:rFonts w:ascii="Times New Roman" w:eastAsia="宋体" w:hAnsi="Times New Roman" w:cs="Times New Roman"/>
                <w:snapToGrid w:val="0"/>
                <w:kern w:val="0"/>
                <w:sz w:val="18"/>
                <w:szCs w:val="18"/>
              </w:rPr>
              <w:t>ending funds to domestic banks</w:t>
            </w:r>
          </w:p>
        </w:tc>
        <w:tc>
          <w:tcPr>
            <w:tcW w:w="163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1,345,686,258.50</w:t>
            </w:r>
          </w:p>
        </w:tc>
        <w:tc>
          <w:tcPr>
            <w:tcW w:w="1614"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1,476,111,558.50</w:t>
            </w:r>
          </w:p>
        </w:tc>
        <w:tc>
          <w:tcPr>
            <w:tcW w:w="183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1,345,686,258.50</w:t>
            </w:r>
          </w:p>
        </w:tc>
        <w:tc>
          <w:tcPr>
            <w:tcW w:w="2352" w:type="dxa"/>
            <w:tcBorders>
              <w:right w:val="doub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1,476,111,558.50</w:t>
            </w:r>
          </w:p>
        </w:tc>
      </w:tr>
      <w:tr w:rsidR="000B609E">
        <w:trPr>
          <w:trHeight w:hRule="exact" w:val="907"/>
        </w:trPr>
        <w:tc>
          <w:tcPr>
            <w:tcW w:w="2840" w:type="dxa"/>
            <w:tcBorders>
              <w:left w:val="double" w:sz="4" w:space="0" w:color="FFFFFF" w:themeColor="background1"/>
            </w:tcBorders>
            <w:vAlign w:val="center"/>
          </w:tcPr>
          <w:p w:rsidR="000B609E" w:rsidRDefault="00B220E1">
            <w:pPr>
              <w:spacing w:afterLines="0" w:after="0"/>
              <w:ind w:firstLineChars="0" w:firstLine="0"/>
              <w:jc w:val="both"/>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L</w:t>
            </w:r>
            <w:r>
              <w:rPr>
                <w:rFonts w:ascii="Times New Roman" w:eastAsia="宋体" w:hAnsi="Times New Roman" w:cs="Times New Roman"/>
                <w:snapToGrid w:val="0"/>
                <w:kern w:val="0"/>
                <w:sz w:val="18"/>
                <w:szCs w:val="18"/>
              </w:rPr>
              <w:t xml:space="preserve">ending funds to other financial institutions </w:t>
            </w:r>
          </w:p>
        </w:tc>
        <w:tc>
          <w:tcPr>
            <w:tcW w:w="163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 xml:space="preserve">-   </w:t>
            </w:r>
          </w:p>
        </w:tc>
        <w:tc>
          <w:tcPr>
            <w:tcW w:w="1614"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580,000,000.00</w:t>
            </w:r>
          </w:p>
        </w:tc>
        <w:tc>
          <w:tcPr>
            <w:tcW w:w="183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 xml:space="preserve">-   </w:t>
            </w:r>
          </w:p>
        </w:tc>
        <w:tc>
          <w:tcPr>
            <w:tcW w:w="2352" w:type="dxa"/>
            <w:tcBorders>
              <w:right w:val="doub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580,000,000.00</w:t>
            </w:r>
          </w:p>
        </w:tc>
      </w:tr>
      <w:tr w:rsidR="000B609E">
        <w:trPr>
          <w:trHeight w:hRule="exact" w:val="454"/>
        </w:trPr>
        <w:tc>
          <w:tcPr>
            <w:tcW w:w="2840" w:type="dxa"/>
            <w:tcBorders>
              <w:left w:val="double" w:sz="4" w:space="0" w:color="FFFFFF" w:themeColor="background1"/>
            </w:tcBorders>
            <w:shd w:val="clear" w:color="auto" w:fill="auto"/>
            <w:vAlign w:val="center"/>
          </w:tcPr>
          <w:p w:rsidR="000B609E" w:rsidRDefault="00B220E1">
            <w:pPr>
              <w:spacing w:afterLines="0" w:after="0"/>
              <w:ind w:firstLineChars="0" w:firstLine="0"/>
              <w:jc w:val="center"/>
              <w:rPr>
                <w:rFonts w:ascii="Times New Roman" w:hAnsi="Times New Roman" w:cs="Times New Roman"/>
                <w:sz w:val="18"/>
                <w:szCs w:val="18"/>
              </w:rPr>
            </w:pPr>
            <w:r>
              <w:rPr>
                <w:rFonts w:ascii="Times New Roman" w:eastAsia="宋体" w:hAnsi="Times New Roman" w:cs="Times New Roman" w:hint="eastAsia"/>
                <w:b/>
                <w:kern w:val="0"/>
                <w:sz w:val="18"/>
                <w:szCs w:val="18"/>
              </w:rPr>
              <w:t>Subtotal</w:t>
            </w:r>
          </w:p>
        </w:tc>
        <w:tc>
          <w:tcPr>
            <w:tcW w:w="1630"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sz w:val="20"/>
                <w:szCs w:val="20"/>
              </w:rPr>
              <w:t>1,345,686,258.50</w:t>
            </w:r>
          </w:p>
        </w:tc>
        <w:tc>
          <w:tcPr>
            <w:tcW w:w="1614"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2,056,111,558.50 </w:t>
            </w:r>
          </w:p>
        </w:tc>
        <w:tc>
          <w:tcPr>
            <w:tcW w:w="1836"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sz w:val="20"/>
                <w:szCs w:val="20"/>
              </w:rPr>
              <w:t>1,345,686,258.50</w:t>
            </w:r>
          </w:p>
        </w:tc>
        <w:tc>
          <w:tcPr>
            <w:tcW w:w="2352" w:type="dxa"/>
            <w:tcBorders>
              <w:right w:val="doub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 2,056,111,558.50 </w:t>
            </w:r>
          </w:p>
        </w:tc>
      </w:tr>
      <w:tr w:rsidR="000B609E">
        <w:trPr>
          <w:trHeight w:hRule="exact" w:val="454"/>
        </w:trPr>
        <w:tc>
          <w:tcPr>
            <w:tcW w:w="2840" w:type="dxa"/>
            <w:tcBorders>
              <w:left w:val="double" w:sz="4" w:space="0" w:color="FFFFFF" w:themeColor="background1"/>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color w:val="000000"/>
                <w:kern w:val="0"/>
                <w:sz w:val="18"/>
                <w:szCs w:val="18"/>
              </w:rPr>
            </w:pPr>
            <w:proofErr w:type="spellStart"/>
            <w:proofErr w:type="gramStart"/>
            <w:r>
              <w:rPr>
                <w:rFonts w:ascii="Times New Roman" w:eastAsia="宋体" w:hAnsi="Times New Roman" w:cs="Times New Roman" w:hint="eastAsia"/>
                <w:color w:val="000000"/>
                <w:kern w:val="0"/>
                <w:sz w:val="18"/>
                <w:szCs w:val="18"/>
              </w:rPr>
              <w:t>Add:a</w:t>
            </w:r>
            <w:r>
              <w:rPr>
                <w:rFonts w:ascii="Times New Roman" w:eastAsia="宋体" w:hAnsi="Times New Roman" w:cs="Times New Roman"/>
                <w:color w:val="000000"/>
                <w:kern w:val="0"/>
                <w:sz w:val="18"/>
                <w:szCs w:val="18"/>
              </w:rPr>
              <w:t>ccrued</w:t>
            </w:r>
            <w:proofErr w:type="spellEnd"/>
            <w:proofErr w:type="gramEnd"/>
            <w:r>
              <w:rPr>
                <w:rFonts w:ascii="Times New Roman" w:eastAsia="宋体" w:hAnsi="Times New Roman" w:cs="Times New Roman"/>
                <w:color w:val="000000"/>
                <w:kern w:val="0"/>
                <w:sz w:val="18"/>
                <w:szCs w:val="18"/>
              </w:rPr>
              <w:t xml:space="preserve"> Interest</w:t>
            </w:r>
          </w:p>
        </w:tc>
        <w:tc>
          <w:tcPr>
            <w:tcW w:w="163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17,990,390.86</w:t>
            </w:r>
          </w:p>
        </w:tc>
        <w:tc>
          <w:tcPr>
            <w:tcW w:w="1614"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17,510,505.33</w:t>
            </w:r>
          </w:p>
        </w:tc>
        <w:tc>
          <w:tcPr>
            <w:tcW w:w="183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宋体"/>
                <w:sz w:val="20"/>
                <w:szCs w:val="20"/>
              </w:rPr>
              <w:t>17,990,390.86</w:t>
            </w:r>
          </w:p>
        </w:tc>
        <w:tc>
          <w:tcPr>
            <w:tcW w:w="2352" w:type="dxa"/>
            <w:tcBorders>
              <w:right w:val="doub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17,510,505.33</w:t>
            </w:r>
          </w:p>
        </w:tc>
      </w:tr>
      <w:tr w:rsidR="000B609E">
        <w:trPr>
          <w:trHeight w:hRule="exact" w:val="454"/>
        </w:trPr>
        <w:tc>
          <w:tcPr>
            <w:tcW w:w="2840" w:type="dxa"/>
            <w:tcBorders>
              <w:left w:val="double" w:sz="4" w:space="0" w:color="FFFFFF" w:themeColor="background1"/>
            </w:tcBorders>
            <w:vAlign w:val="center"/>
          </w:tcPr>
          <w:p w:rsidR="000B609E" w:rsidRDefault="00B220E1">
            <w:pPr>
              <w:spacing w:afterLines="0" w:after="0"/>
              <w:ind w:firstLineChars="0" w:firstLine="0"/>
              <w:jc w:val="both"/>
              <w:rPr>
                <w:rFonts w:ascii="Times New Roman" w:eastAsia="宋体" w:hAnsi="Times New Roman" w:cs="Times New Roman"/>
                <w:color w:val="000000"/>
                <w:kern w:val="0"/>
                <w:sz w:val="18"/>
                <w:szCs w:val="18"/>
              </w:rPr>
            </w:pPr>
            <w:proofErr w:type="spellStart"/>
            <w:proofErr w:type="gramStart"/>
            <w:r>
              <w:rPr>
                <w:rFonts w:ascii="Times New Roman" w:eastAsia="宋体" w:hAnsi="Times New Roman" w:cs="Times New Roman" w:hint="eastAsia"/>
                <w:color w:val="000000"/>
                <w:kern w:val="0"/>
                <w:sz w:val="18"/>
                <w:szCs w:val="18"/>
              </w:rPr>
              <w:t>Minus:impairment</w:t>
            </w:r>
            <w:proofErr w:type="spellEnd"/>
            <w:proofErr w:type="gramEnd"/>
            <w:r>
              <w:rPr>
                <w:rFonts w:ascii="Times New Roman" w:eastAsia="宋体" w:hAnsi="Times New Roman" w:cs="Times New Roman" w:hint="eastAsia"/>
                <w:color w:val="000000"/>
                <w:kern w:val="0"/>
                <w:sz w:val="18"/>
                <w:szCs w:val="18"/>
              </w:rPr>
              <w:t xml:space="preserve"> allowance </w:t>
            </w:r>
          </w:p>
        </w:tc>
        <w:tc>
          <w:tcPr>
            <w:tcW w:w="163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sz w:val="20"/>
                <w:szCs w:val="20"/>
              </w:rPr>
              <w:t>76,111,558.60</w:t>
            </w:r>
          </w:p>
        </w:tc>
        <w:tc>
          <w:tcPr>
            <w:tcW w:w="1614"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snapToGrid w:val="0"/>
                <w:kern w:val="0"/>
                <w:sz w:val="20"/>
                <w:szCs w:val="20"/>
              </w:rPr>
              <w:t>76,111,558.60</w:t>
            </w:r>
          </w:p>
        </w:tc>
        <w:tc>
          <w:tcPr>
            <w:tcW w:w="183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sz w:val="20"/>
                <w:szCs w:val="20"/>
              </w:rPr>
              <w:t>76,111,558.60</w:t>
            </w:r>
          </w:p>
        </w:tc>
        <w:tc>
          <w:tcPr>
            <w:tcW w:w="2352" w:type="dxa"/>
            <w:tcBorders>
              <w:right w:val="doub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snapToGrid w:val="0"/>
                <w:kern w:val="0"/>
                <w:sz w:val="20"/>
                <w:szCs w:val="20"/>
              </w:rPr>
              <w:t>76,111,558.60</w:t>
            </w:r>
          </w:p>
        </w:tc>
      </w:tr>
      <w:tr w:rsidR="000B609E">
        <w:trPr>
          <w:trHeight w:hRule="exact" w:val="454"/>
        </w:trPr>
        <w:tc>
          <w:tcPr>
            <w:tcW w:w="2840" w:type="dxa"/>
            <w:tcBorders>
              <w:left w:val="double" w:sz="4" w:space="0" w:color="FFFFFF" w:themeColor="background1"/>
              <w:bottom w:val="double" w:sz="4" w:space="0" w:color="auto"/>
            </w:tcBorders>
            <w:vAlign w:val="center"/>
          </w:tcPr>
          <w:p w:rsidR="000B609E" w:rsidRDefault="00B220E1">
            <w:pPr>
              <w:tabs>
                <w:tab w:val="left" w:pos="477"/>
                <w:tab w:val="center" w:pos="1372"/>
              </w:tabs>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ab/>
            </w:r>
            <w:r>
              <w:rPr>
                <w:rFonts w:ascii="Times New Roman" w:eastAsia="宋体" w:hAnsi="Times New Roman" w:cs="Times New Roman" w:hint="eastAsia"/>
                <w:b/>
                <w:kern w:val="0"/>
                <w:sz w:val="18"/>
                <w:szCs w:val="18"/>
              </w:rPr>
              <w:tab/>
              <w:t>Total</w:t>
            </w:r>
          </w:p>
        </w:tc>
        <w:tc>
          <w:tcPr>
            <w:tcW w:w="1630" w:type="dxa"/>
            <w:tcBorders>
              <w:bottom w:val="doub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sz w:val="20"/>
                <w:szCs w:val="20"/>
              </w:rPr>
              <w:t>1,287,565,090.76</w:t>
            </w:r>
          </w:p>
        </w:tc>
        <w:tc>
          <w:tcPr>
            <w:tcW w:w="1614" w:type="dxa"/>
            <w:tcBorders>
              <w:bottom w:val="doub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1,997,510,505.23</w:t>
            </w:r>
          </w:p>
        </w:tc>
        <w:tc>
          <w:tcPr>
            <w:tcW w:w="1836" w:type="dxa"/>
            <w:tcBorders>
              <w:bottom w:val="doub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sz w:val="20"/>
                <w:szCs w:val="20"/>
              </w:rPr>
              <w:t>1,287,565,090.76</w:t>
            </w:r>
          </w:p>
        </w:tc>
        <w:tc>
          <w:tcPr>
            <w:tcW w:w="2352" w:type="dxa"/>
            <w:tcBorders>
              <w:bottom w:val="double" w:sz="4" w:space="0" w:color="auto"/>
              <w:right w:val="doub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1,997,510,505.23</w:t>
            </w:r>
          </w:p>
        </w:tc>
      </w:tr>
    </w:tbl>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4. Financial assets purchased under resale agreements</w:t>
      </w:r>
    </w:p>
    <w:tbl>
      <w:tblPr>
        <w:tblW w:w="10284" w:type="dxa"/>
        <w:tblInd w:w="-856" w:type="dxa"/>
        <w:tblLayout w:type="fixed"/>
        <w:tblLook w:val="04A0" w:firstRow="1" w:lastRow="0" w:firstColumn="1" w:lastColumn="0" w:noHBand="0" w:noVBand="1"/>
      </w:tblPr>
      <w:tblGrid>
        <w:gridCol w:w="2519"/>
        <w:gridCol w:w="1659"/>
        <w:gridCol w:w="1657"/>
        <w:gridCol w:w="1659"/>
        <w:gridCol w:w="2790"/>
      </w:tblGrid>
      <w:tr w:rsidR="000B609E">
        <w:trPr>
          <w:tblHeader/>
        </w:trPr>
        <w:tc>
          <w:tcPr>
            <w:tcW w:w="2519" w:type="dxa"/>
            <w:vMerge w:val="restart"/>
            <w:tcBorders>
              <w:top w:val="double" w:sz="4" w:space="0" w:color="auto"/>
              <w:left w:val="single" w:sz="4" w:space="0" w:color="FFFFFF" w:themeColor="background1"/>
              <w:right w:val="single" w:sz="4" w:space="0" w:color="auto"/>
            </w:tcBorders>
            <w:vAlign w:val="center"/>
          </w:tcPr>
          <w:p w:rsidR="000B609E" w:rsidRDefault="00B220E1">
            <w:pPr>
              <w:spacing w:beforeLines="50" w:before="156"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I</w:t>
            </w:r>
            <w:r>
              <w:rPr>
                <w:rFonts w:ascii="Times New Roman" w:hAnsi="Times New Roman" w:cs="Times New Roman"/>
                <w:b/>
                <w:sz w:val="18"/>
                <w:szCs w:val="18"/>
              </w:rPr>
              <w:t>tems</w:t>
            </w:r>
          </w:p>
        </w:tc>
        <w:tc>
          <w:tcPr>
            <w:tcW w:w="3316" w:type="dxa"/>
            <w:gridSpan w:val="2"/>
            <w:tcBorders>
              <w:top w:val="double" w:sz="4" w:space="0" w:color="auto"/>
              <w:left w:val="single" w:sz="4" w:space="0" w:color="auto"/>
              <w:right w:val="single" w:sz="4" w:space="0" w:color="auto"/>
            </w:tcBorders>
          </w:tcPr>
          <w:p w:rsidR="000B609E" w:rsidRDefault="00B220E1">
            <w:pPr>
              <w:spacing w:beforeLines="50" w:before="156"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G</w:t>
            </w:r>
            <w:r>
              <w:rPr>
                <w:rFonts w:ascii="Times New Roman" w:hAnsi="Times New Roman" w:cs="Times New Roman"/>
                <w:b/>
                <w:sz w:val="18"/>
                <w:szCs w:val="18"/>
              </w:rPr>
              <w:t>roup</w:t>
            </w:r>
          </w:p>
        </w:tc>
        <w:tc>
          <w:tcPr>
            <w:tcW w:w="4449" w:type="dxa"/>
            <w:gridSpan w:val="2"/>
            <w:tcBorders>
              <w:top w:val="double" w:sz="4" w:space="0" w:color="auto"/>
              <w:left w:val="single" w:sz="4" w:space="0" w:color="auto"/>
              <w:bottom w:val="single" w:sz="4" w:space="0" w:color="auto"/>
              <w:right w:val="single" w:sz="4" w:space="0" w:color="FFFFFF" w:themeColor="background1"/>
            </w:tcBorders>
          </w:tcPr>
          <w:p w:rsidR="000B609E" w:rsidRDefault="00B220E1">
            <w:pPr>
              <w:spacing w:beforeLines="50" w:before="156"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B</w:t>
            </w:r>
            <w:r>
              <w:rPr>
                <w:rFonts w:ascii="Times New Roman" w:hAnsi="Times New Roman" w:cs="Times New Roman"/>
                <w:b/>
                <w:sz w:val="18"/>
                <w:szCs w:val="18"/>
              </w:rPr>
              <w:t>ank</w:t>
            </w:r>
          </w:p>
        </w:tc>
      </w:tr>
      <w:tr w:rsidR="000B609E">
        <w:trPr>
          <w:tblHeader/>
        </w:trPr>
        <w:tc>
          <w:tcPr>
            <w:tcW w:w="2519" w:type="dxa"/>
            <w:vMerge/>
            <w:tcBorders>
              <w:left w:val="single" w:sz="4" w:space="0" w:color="FFFFFF" w:themeColor="background1"/>
              <w:right w:val="single" w:sz="4" w:space="0" w:color="auto"/>
            </w:tcBorders>
          </w:tcPr>
          <w:p w:rsidR="000B609E" w:rsidRDefault="000B609E">
            <w:pPr>
              <w:spacing w:beforeLines="50" w:before="156" w:afterLines="0" w:after="0"/>
              <w:ind w:firstLineChars="0" w:firstLine="0"/>
              <w:jc w:val="center"/>
              <w:rPr>
                <w:rFonts w:ascii="Times New Roman" w:hAnsi="Times New Roman" w:cs="Times New Roman"/>
                <w:b/>
                <w:sz w:val="18"/>
                <w:szCs w:val="18"/>
              </w:rPr>
            </w:pPr>
          </w:p>
        </w:tc>
        <w:tc>
          <w:tcPr>
            <w:tcW w:w="1659" w:type="dxa"/>
            <w:tcBorders>
              <w:top w:val="single" w:sz="4" w:space="0" w:color="auto"/>
              <w:left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hAnsi="Times New Roman" w:cs="Times New Roman"/>
                <w:b/>
                <w:sz w:val="18"/>
                <w:szCs w:val="18"/>
              </w:rPr>
            </w:pPr>
            <w:r>
              <w:rPr>
                <w:rFonts w:ascii="Times New Roman" w:eastAsia="宋体" w:hAnsi="Times New Roman" w:cs="Times New Roman" w:hint="eastAsia"/>
                <w:b/>
                <w:kern w:val="0"/>
                <w:sz w:val="18"/>
                <w:szCs w:val="18"/>
              </w:rPr>
              <w:t>2020-12-31</w:t>
            </w:r>
          </w:p>
        </w:tc>
        <w:tc>
          <w:tcPr>
            <w:tcW w:w="1657" w:type="dxa"/>
            <w:tcBorders>
              <w:top w:val="single" w:sz="4" w:space="0" w:color="auto"/>
              <w:left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hAnsi="Times New Roman" w:cs="Times New Roman"/>
                <w:b/>
                <w:sz w:val="18"/>
                <w:szCs w:val="18"/>
              </w:rPr>
            </w:pPr>
            <w:r>
              <w:rPr>
                <w:rFonts w:ascii="Times New Roman" w:eastAsia="宋体" w:hAnsi="Times New Roman" w:cs="Times New Roman" w:hint="eastAsia"/>
                <w:b/>
                <w:kern w:val="0"/>
                <w:sz w:val="18"/>
                <w:szCs w:val="18"/>
              </w:rPr>
              <w:t>2019-12-31</w:t>
            </w:r>
          </w:p>
        </w:tc>
        <w:tc>
          <w:tcPr>
            <w:tcW w:w="1659" w:type="dxa"/>
            <w:tcBorders>
              <w:top w:val="single" w:sz="4" w:space="0" w:color="auto"/>
              <w:left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hAnsi="Times New Roman" w:cs="Times New Roman"/>
                <w:b/>
                <w:sz w:val="18"/>
                <w:szCs w:val="18"/>
              </w:rPr>
            </w:pPr>
            <w:r>
              <w:rPr>
                <w:rFonts w:ascii="Times New Roman" w:eastAsia="宋体" w:hAnsi="Times New Roman" w:cs="Times New Roman" w:hint="eastAsia"/>
                <w:b/>
                <w:kern w:val="0"/>
                <w:sz w:val="18"/>
                <w:szCs w:val="18"/>
              </w:rPr>
              <w:t>2020-12-31</w:t>
            </w:r>
          </w:p>
        </w:tc>
        <w:tc>
          <w:tcPr>
            <w:tcW w:w="2790" w:type="dxa"/>
            <w:tcBorders>
              <w:top w:val="single" w:sz="4" w:space="0" w:color="auto"/>
              <w:left w:val="single" w:sz="4" w:space="0" w:color="auto"/>
              <w:right w:val="single" w:sz="4" w:space="0" w:color="FFFFFF" w:themeColor="background1"/>
            </w:tcBorders>
            <w:shd w:val="clear" w:color="auto" w:fill="auto"/>
            <w:vAlign w:val="center"/>
          </w:tcPr>
          <w:p w:rsidR="000B609E" w:rsidRDefault="00B220E1">
            <w:pPr>
              <w:spacing w:afterLines="0" w:after="0"/>
              <w:ind w:firstLine="361"/>
              <w:jc w:val="center"/>
              <w:rPr>
                <w:rFonts w:ascii="Times New Roman" w:hAnsi="Times New Roman" w:cs="Times New Roman"/>
                <w:b/>
                <w:sz w:val="18"/>
                <w:szCs w:val="18"/>
              </w:rPr>
            </w:pPr>
            <w:r>
              <w:rPr>
                <w:rFonts w:ascii="Times New Roman" w:eastAsia="宋体" w:hAnsi="Times New Roman" w:cs="Times New Roman" w:hint="eastAsia"/>
                <w:b/>
                <w:kern w:val="0"/>
                <w:sz w:val="18"/>
                <w:szCs w:val="18"/>
              </w:rPr>
              <w:t>2019-12-31</w:t>
            </w:r>
          </w:p>
        </w:tc>
      </w:tr>
    </w:tbl>
    <w:tbl>
      <w:tblPr>
        <w:tblStyle w:val="affd"/>
        <w:tblW w:w="10320" w:type="dxa"/>
        <w:tblInd w:w="-879" w:type="dxa"/>
        <w:tblLayout w:type="fixed"/>
        <w:tblLook w:val="04A0" w:firstRow="1" w:lastRow="0" w:firstColumn="1" w:lastColumn="0" w:noHBand="0" w:noVBand="1"/>
      </w:tblPr>
      <w:tblGrid>
        <w:gridCol w:w="2544"/>
        <w:gridCol w:w="1659"/>
        <w:gridCol w:w="1657"/>
        <w:gridCol w:w="1659"/>
        <w:gridCol w:w="2801"/>
      </w:tblGrid>
      <w:tr w:rsidR="000B609E">
        <w:trPr>
          <w:trHeight w:hRule="exact" w:val="907"/>
        </w:trPr>
        <w:tc>
          <w:tcPr>
            <w:tcW w:w="2544" w:type="dxa"/>
            <w:tcBorders>
              <w:left w:val="single" w:sz="4" w:space="0" w:color="FFFFFF" w:themeColor="background1"/>
            </w:tcBorders>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Financial assets purchased under resale agreements</w:t>
            </w:r>
          </w:p>
        </w:tc>
        <w:tc>
          <w:tcPr>
            <w:tcW w:w="16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65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1,142,819,000.00</w:t>
            </w:r>
          </w:p>
        </w:tc>
        <w:tc>
          <w:tcPr>
            <w:tcW w:w="16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801" w:type="dxa"/>
            <w:tcBorders>
              <w:right w:val="sing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1,142,819,000.00</w:t>
            </w:r>
          </w:p>
        </w:tc>
      </w:tr>
      <w:tr w:rsidR="000B609E">
        <w:trPr>
          <w:trHeight w:hRule="exact" w:val="454"/>
        </w:trPr>
        <w:tc>
          <w:tcPr>
            <w:tcW w:w="2544" w:type="dxa"/>
            <w:tcBorders>
              <w:left w:val="single" w:sz="4" w:space="0" w:color="FFFFFF" w:themeColor="background1"/>
            </w:tcBorders>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Including: Financial bonds</w:t>
            </w:r>
          </w:p>
        </w:tc>
        <w:tc>
          <w:tcPr>
            <w:tcW w:w="16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65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892,660,000.00 </w:t>
            </w:r>
          </w:p>
        </w:tc>
        <w:tc>
          <w:tcPr>
            <w:tcW w:w="16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801" w:type="dxa"/>
            <w:tcBorders>
              <w:right w:val="sing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892,660,000.00 </w:t>
            </w:r>
          </w:p>
        </w:tc>
      </w:tr>
      <w:tr w:rsidR="000B609E">
        <w:trPr>
          <w:trHeight w:hRule="exact" w:val="454"/>
        </w:trPr>
        <w:tc>
          <w:tcPr>
            <w:tcW w:w="2544" w:type="dxa"/>
            <w:tcBorders>
              <w:left w:val="single" w:sz="4" w:space="0" w:color="FFFFFF" w:themeColor="background1"/>
            </w:tcBorders>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Deposit slip </w:t>
            </w:r>
          </w:p>
        </w:tc>
        <w:tc>
          <w:tcPr>
            <w:tcW w:w="16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65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250,159,000.00 </w:t>
            </w:r>
          </w:p>
        </w:tc>
        <w:tc>
          <w:tcPr>
            <w:tcW w:w="16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801" w:type="dxa"/>
            <w:tcBorders>
              <w:right w:val="sing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250,159,000.00 </w:t>
            </w:r>
          </w:p>
        </w:tc>
      </w:tr>
      <w:tr w:rsidR="000B609E">
        <w:trPr>
          <w:trHeight w:hRule="exact" w:val="454"/>
        </w:trPr>
        <w:tc>
          <w:tcPr>
            <w:tcW w:w="2544" w:type="dxa"/>
            <w:tcBorders>
              <w:left w:val="single" w:sz="4" w:space="0" w:color="FFFFFF" w:themeColor="background1"/>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proofErr w:type="spellStart"/>
            <w:proofErr w:type="gramStart"/>
            <w:r>
              <w:rPr>
                <w:rFonts w:ascii="Times New Roman" w:eastAsia="宋体" w:hAnsi="Times New Roman" w:cs="Times New Roman" w:hint="eastAsia"/>
                <w:kern w:val="0"/>
                <w:sz w:val="18"/>
                <w:szCs w:val="18"/>
              </w:rPr>
              <w:t>Add:accrued</w:t>
            </w:r>
            <w:proofErr w:type="spellEnd"/>
            <w:proofErr w:type="gramEnd"/>
            <w:r>
              <w:rPr>
                <w:rFonts w:ascii="Times New Roman" w:eastAsia="宋体" w:hAnsi="Times New Roman" w:cs="Times New Roman" w:hint="eastAsia"/>
                <w:kern w:val="0"/>
                <w:sz w:val="18"/>
                <w:szCs w:val="18"/>
              </w:rPr>
              <w:t xml:space="preserve"> Interest</w:t>
            </w:r>
          </w:p>
        </w:tc>
        <w:tc>
          <w:tcPr>
            <w:tcW w:w="16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65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3,627,033.04</w:t>
            </w:r>
          </w:p>
        </w:tc>
        <w:tc>
          <w:tcPr>
            <w:tcW w:w="16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801" w:type="dxa"/>
            <w:tcBorders>
              <w:right w:val="sing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3,627,033.04</w:t>
            </w:r>
          </w:p>
        </w:tc>
      </w:tr>
      <w:tr w:rsidR="000B609E">
        <w:trPr>
          <w:trHeight w:hRule="exact" w:val="454"/>
        </w:trPr>
        <w:tc>
          <w:tcPr>
            <w:tcW w:w="2544" w:type="dxa"/>
            <w:tcBorders>
              <w:left w:val="single" w:sz="4" w:space="0" w:color="FFFFFF" w:themeColor="background1"/>
            </w:tcBorders>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proofErr w:type="spellStart"/>
            <w:proofErr w:type="gramStart"/>
            <w:r>
              <w:rPr>
                <w:rFonts w:ascii="Times New Roman" w:eastAsia="宋体" w:hAnsi="Times New Roman" w:cs="Times New Roman" w:hint="eastAsia"/>
                <w:kern w:val="0"/>
                <w:sz w:val="18"/>
                <w:szCs w:val="18"/>
              </w:rPr>
              <w:t>Minus:impairment</w:t>
            </w:r>
            <w:proofErr w:type="spellEnd"/>
            <w:proofErr w:type="gramEnd"/>
            <w:r>
              <w:rPr>
                <w:rFonts w:ascii="Times New Roman" w:eastAsia="宋体" w:hAnsi="Times New Roman" w:cs="Times New Roman" w:hint="eastAsia"/>
                <w:kern w:val="0"/>
                <w:sz w:val="18"/>
                <w:szCs w:val="18"/>
              </w:rPr>
              <w:t xml:space="preserve"> allowance </w:t>
            </w:r>
          </w:p>
        </w:tc>
        <w:tc>
          <w:tcPr>
            <w:tcW w:w="16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657"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6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801" w:type="dxa"/>
            <w:tcBorders>
              <w:right w:val="single" w:sz="4" w:space="0" w:color="FFFFFF" w:themeColor="background1"/>
            </w:tcBorders>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r>
      <w:tr w:rsidR="000B609E">
        <w:trPr>
          <w:trHeight w:hRule="exact" w:val="454"/>
        </w:trPr>
        <w:tc>
          <w:tcPr>
            <w:tcW w:w="2544" w:type="dxa"/>
            <w:tcBorders>
              <w:left w:val="single" w:sz="4" w:space="0" w:color="FFFFFF" w:themeColor="background1"/>
              <w:bottom w:val="double" w:sz="4" w:space="0" w:color="auto"/>
            </w:tcBorders>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Total</w:t>
            </w:r>
          </w:p>
        </w:tc>
        <w:tc>
          <w:tcPr>
            <w:tcW w:w="1659" w:type="dxa"/>
            <w:tcBorders>
              <w:bottom w:val="double" w:sz="4" w:space="0" w:color="auto"/>
            </w:tcBorders>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w:t>
            </w:r>
          </w:p>
        </w:tc>
        <w:tc>
          <w:tcPr>
            <w:tcW w:w="1657" w:type="dxa"/>
            <w:tcBorders>
              <w:bottom w:val="doub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1,146,446,033.04</w:t>
            </w:r>
          </w:p>
        </w:tc>
        <w:tc>
          <w:tcPr>
            <w:tcW w:w="1659" w:type="dxa"/>
            <w:tcBorders>
              <w:bottom w:val="double" w:sz="4" w:space="0" w:color="auto"/>
            </w:tcBorders>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w:t>
            </w:r>
          </w:p>
        </w:tc>
        <w:tc>
          <w:tcPr>
            <w:tcW w:w="2801" w:type="dxa"/>
            <w:tcBorders>
              <w:bottom w:val="double" w:sz="4" w:space="0" w:color="auto"/>
              <w:right w:val="sing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1,146,446,033.04</w:t>
            </w:r>
          </w:p>
        </w:tc>
      </w:tr>
    </w:tbl>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5. Loans and advances to customers</w:t>
      </w:r>
    </w:p>
    <w:p w:rsidR="000B609E" w:rsidRDefault="00B220E1">
      <w:pPr>
        <w:pStyle w:val="11"/>
        <w:numPr>
          <w:ilvl w:val="0"/>
          <w:numId w:val="20"/>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Distribution </w:t>
      </w:r>
      <w:r>
        <w:rPr>
          <w:rFonts w:ascii="Times New Roman" w:hAnsi="Times New Roman" w:cs="Times New Roman" w:hint="eastAsia"/>
          <w:sz w:val="24"/>
          <w:szCs w:val="24"/>
        </w:rPr>
        <w:t>s</w:t>
      </w:r>
      <w:r>
        <w:rPr>
          <w:rFonts w:ascii="Times New Roman" w:hAnsi="Times New Roman" w:cs="Times New Roman"/>
          <w:sz w:val="24"/>
          <w:szCs w:val="24"/>
        </w:rPr>
        <w:t xml:space="preserve">ituations of </w:t>
      </w:r>
      <w:r>
        <w:rPr>
          <w:rFonts w:ascii="Times New Roman" w:hAnsi="Times New Roman" w:cs="Times New Roman" w:hint="eastAsia"/>
          <w:sz w:val="24"/>
          <w:szCs w:val="24"/>
        </w:rPr>
        <w:t>l</w:t>
      </w:r>
      <w:r>
        <w:rPr>
          <w:rFonts w:ascii="Times New Roman" w:hAnsi="Times New Roman" w:cs="Times New Roman"/>
          <w:sz w:val="24"/>
          <w:szCs w:val="24"/>
        </w:rPr>
        <w:t xml:space="preserve">oans and </w:t>
      </w:r>
      <w:r>
        <w:rPr>
          <w:rFonts w:ascii="Times New Roman" w:hAnsi="Times New Roman" w:cs="Times New Roman" w:hint="eastAsia"/>
          <w:sz w:val="24"/>
          <w:szCs w:val="24"/>
        </w:rPr>
        <w:t>a</w:t>
      </w:r>
      <w:r>
        <w:rPr>
          <w:rFonts w:ascii="Times New Roman" w:hAnsi="Times New Roman" w:cs="Times New Roman"/>
          <w:sz w:val="24"/>
          <w:szCs w:val="24"/>
        </w:rPr>
        <w:t>dvance</w:t>
      </w:r>
      <w:r>
        <w:rPr>
          <w:rFonts w:ascii="Times New Roman" w:hAnsi="Times New Roman" w:cs="Times New Roman" w:hint="eastAsia"/>
          <w:sz w:val="24"/>
          <w:szCs w:val="24"/>
        </w:rPr>
        <w:t xml:space="preserve">s </w:t>
      </w:r>
      <w:r>
        <w:rPr>
          <w:rFonts w:ascii="Times New Roman" w:hAnsi="Times New Roman" w:cs="Times New Roman"/>
          <w:sz w:val="24"/>
          <w:szCs w:val="24"/>
        </w:rPr>
        <w:t xml:space="preserve">by </w:t>
      </w:r>
      <w:r>
        <w:rPr>
          <w:rFonts w:ascii="Times New Roman" w:hAnsi="Times New Roman" w:cs="Times New Roman" w:hint="eastAsia"/>
          <w:sz w:val="24"/>
          <w:szCs w:val="24"/>
        </w:rPr>
        <w:t>i</w:t>
      </w:r>
      <w:r>
        <w:rPr>
          <w:rFonts w:ascii="Times New Roman" w:hAnsi="Times New Roman" w:cs="Times New Roman"/>
          <w:sz w:val="24"/>
          <w:szCs w:val="24"/>
        </w:rPr>
        <w:t xml:space="preserve">ndividuals and </w:t>
      </w:r>
      <w:r>
        <w:rPr>
          <w:rFonts w:ascii="Times New Roman" w:hAnsi="Times New Roman" w:cs="Times New Roman" w:hint="eastAsia"/>
          <w:sz w:val="24"/>
          <w:szCs w:val="24"/>
        </w:rPr>
        <w:t>e</w:t>
      </w:r>
      <w:r>
        <w:rPr>
          <w:rFonts w:ascii="Times New Roman" w:hAnsi="Times New Roman" w:cs="Times New Roman"/>
          <w:sz w:val="24"/>
          <w:szCs w:val="24"/>
        </w:rPr>
        <w:t>nterprises</w:t>
      </w:r>
    </w:p>
    <w:tbl>
      <w:tblPr>
        <w:tblW w:w="10320" w:type="dxa"/>
        <w:tblInd w:w="-890" w:type="dxa"/>
        <w:tblLayout w:type="fixed"/>
        <w:tblLook w:val="04A0" w:firstRow="1" w:lastRow="0" w:firstColumn="1" w:lastColumn="0" w:noHBand="0" w:noVBand="1"/>
      </w:tblPr>
      <w:tblGrid>
        <w:gridCol w:w="2309"/>
        <w:gridCol w:w="1845"/>
        <w:gridCol w:w="1842"/>
        <w:gridCol w:w="1843"/>
        <w:gridCol w:w="2481"/>
      </w:tblGrid>
      <w:tr w:rsidR="000B609E">
        <w:trPr>
          <w:trHeight w:val="294"/>
          <w:tblHeader/>
        </w:trPr>
        <w:tc>
          <w:tcPr>
            <w:tcW w:w="2309"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lastRenderedPageBreak/>
              <w:t>Items</w:t>
            </w:r>
          </w:p>
        </w:tc>
        <w:tc>
          <w:tcPr>
            <w:tcW w:w="3687"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4324"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27"/>
          <w:tblHeader/>
        </w:trPr>
        <w:tc>
          <w:tcPr>
            <w:tcW w:w="2309"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2020-12-31</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2019-12-31</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2020-12-31</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2019-12-31</w:t>
            </w:r>
          </w:p>
        </w:tc>
      </w:tr>
      <w:tr w:rsidR="000B609E">
        <w:trPr>
          <w:trHeight w:hRule="exact" w:val="1361"/>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right="360"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Loans and advances measured at amortized cost</w:t>
            </w:r>
          </w:p>
        </w:tc>
        <w:tc>
          <w:tcPr>
            <w:tcW w:w="1845"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Cs w:val="21"/>
                <w:lang w:val="en-GB"/>
              </w:rPr>
            </w:pPr>
            <w:r>
              <w:rPr>
                <w:rFonts w:ascii="Arial Narrow" w:eastAsia="宋体" w:hAnsi="Arial Narrow" w:cs="Arial Narrow" w:hint="eastAsia"/>
                <w:snapToGrid w:val="0"/>
                <w:kern w:val="0"/>
                <w:szCs w:val="21"/>
                <w:lang w:val="en-GB"/>
              </w:rPr>
              <w:t>-</w:t>
            </w:r>
          </w:p>
        </w:tc>
        <w:tc>
          <w:tcPr>
            <w:tcW w:w="1842"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Cs w:val="21"/>
                <w:lang w:val="en-GB"/>
              </w:rPr>
            </w:pPr>
            <w:r>
              <w:rPr>
                <w:rFonts w:ascii="Arial Narrow" w:eastAsia="宋体" w:hAnsi="Arial Narrow" w:cs="Arial Narrow" w:hint="eastAsia"/>
                <w:snapToGrid w:val="0"/>
                <w:kern w:val="0"/>
                <w:szCs w:val="21"/>
                <w:lang w:val="en-GB"/>
              </w:rPr>
              <w:t>-</w:t>
            </w:r>
          </w:p>
        </w:tc>
        <w:tc>
          <w:tcPr>
            <w:tcW w:w="1843"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Cs w:val="21"/>
                <w:lang w:val="en-GB"/>
              </w:rPr>
            </w:pPr>
            <w:r>
              <w:rPr>
                <w:rFonts w:ascii="Arial Narrow" w:eastAsia="宋体" w:hAnsi="Arial Narrow" w:cs="Arial Narrow" w:hint="eastAsia"/>
                <w:snapToGrid w:val="0"/>
                <w:kern w:val="0"/>
                <w:szCs w:val="21"/>
                <w:lang w:val="en-GB"/>
              </w:rPr>
              <w:t>-</w:t>
            </w:r>
          </w:p>
        </w:tc>
        <w:tc>
          <w:tcPr>
            <w:tcW w:w="2481"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Cs w:val="21"/>
                <w:lang w:val="en-GB"/>
              </w:rPr>
            </w:pPr>
            <w:r>
              <w:rPr>
                <w:rFonts w:ascii="Arial Narrow" w:eastAsia="宋体" w:hAnsi="Arial Narrow" w:cs="Arial Narrow" w:hint="eastAsia"/>
                <w:snapToGrid w:val="0"/>
                <w:kern w:val="0"/>
                <w:szCs w:val="21"/>
                <w:lang w:val="en-GB"/>
              </w:rPr>
              <w:t>-</w:t>
            </w:r>
          </w:p>
        </w:tc>
      </w:tr>
      <w:tr w:rsidR="000B609E">
        <w:trPr>
          <w:trHeight w:hRule="exact" w:val="907"/>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right="360"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Loans and Advances to enterprises: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15,679,124,653.79</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15,266,576,892.15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15,480,888,781.95</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15,049,926,208.89 </w:t>
            </w:r>
          </w:p>
        </w:tc>
      </w:tr>
      <w:tr w:rsidR="000B609E">
        <w:trPr>
          <w:trHeight w:hRule="exact" w:val="907"/>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Including: -Basic credit </w:t>
            </w:r>
          </w:p>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facility</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13,731,318,775.87</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13,951,528,664.65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13,611,418,775.87</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13,823,258,664.65 </w:t>
            </w:r>
          </w:p>
        </w:tc>
      </w:tr>
      <w:tr w:rsidR="000B609E">
        <w:trPr>
          <w:trHeight w:hRule="exact" w:val="454"/>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right="360"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hint="eastAsia"/>
                <w:snapToGrid w:val="0"/>
                <w:color w:val="000000"/>
                <w:kern w:val="0"/>
                <w:sz w:val="18"/>
                <w:szCs w:val="18"/>
                <w:lang w:bidi="ar"/>
              </w:rPr>
              <w:t>-Advances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 xml:space="preserve">-   </w:t>
            </w:r>
          </w:p>
        </w:tc>
        <w:tc>
          <w:tcPr>
            <w:tcW w:w="1842"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r w:rsidR="00B220E1">
              <w:rPr>
                <w:rFonts w:ascii="Arial Narrow" w:eastAsia="宋体" w:hAnsi="Arial Narrow" w:cs="Arial Narrow"/>
                <w:snapToGrid w:val="0"/>
                <w:kern w:val="0"/>
                <w:sz w:val="20"/>
                <w:szCs w:val="20"/>
                <w:lang w:val="en-GB"/>
              </w:rPr>
              <w:t xml:space="preserve">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 xml:space="preserve">-   </w:t>
            </w:r>
          </w:p>
        </w:tc>
        <w:tc>
          <w:tcPr>
            <w:tcW w:w="2481"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r>
      <w:tr w:rsidR="000B609E">
        <w:trPr>
          <w:trHeight w:hRule="exact" w:val="454"/>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right="180" w:firstLineChars="0" w:firstLine="0"/>
              <w:jc w:val="both"/>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-Discount</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1,947,805,877.92</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1,315,048,227.50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1,869,470,006.08</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1,226,667,544.24 </w:t>
            </w:r>
          </w:p>
        </w:tc>
      </w:tr>
      <w:tr w:rsidR="000B609E">
        <w:trPr>
          <w:trHeight w:hRule="exact" w:val="907"/>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Loans and Advance to individuals;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6,312,808,561.83</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5,621,768,566.12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5,904,670,370.43</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5,309,660,726.17 </w:t>
            </w:r>
          </w:p>
        </w:tc>
      </w:tr>
      <w:tr w:rsidR="000B609E">
        <w:trPr>
          <w:trHeight w:hRule="exact" w:val="454"/>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Subtotal</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sz w:val="20"/>
                <w:szCs w:val="20"/>
              </w:rPr>
              <w:t>21,991,933,215.62</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 20,888,345,458.27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sz w:val="20"/>
                <w:szCs w:val="20"/>
              </w:rPr>
              <w:t>21,385,559,152.38</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 20,359,586,935.06 </w:t>
            </w:r>
          </w:p>
        </w:tc>
      </w:tr>
      <w:tr w:rsidR="000B609E">
        <w:trPr>
          <w:trHeight w:hRule="exact" w:val="454"/>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proofErr w:type="spellStart"/>
            <w:proofErr w:type="gramStart"/>
            <w:r>
              <w:rPr>
                <w:rFonts w:ascii="Times New Roman" w:eastAsia="宋体" w:hAnsi="Times New Roman" w:cs="Times New Roman" w:hint="eastAsia"/>
                <w:kern w:val="0"/>
                <w:sz w:val="18"/>
                <w:szCs w:val="18"/>
              </w:rPr>
              <w:t>Add:a</w:t>
            </w:r>
            <w:r>
              <w:rPr>
                <w:rFonts w:ascii="Times New Roman" w:eastAsia="宋体" w:hAnsi="Times New Roman" w:cs="Times New Roman"/>
                <w:kern w:val="0"/>
                <w:sz w:val="18"/>
                <w:szCs w:val="18"/>
              </w:rPr>
              <w:t>ccrued</w:t>
            </w:r>
            <w:proofErr w:type="spellEnd"/>
            <w:proofErr w:type="gramEnd"/>
            <w:r>
              <w:rPr>
                <w:rFonts w:ascii="Times New Roman" w:eastAsia="宋体" w:hAnsi="Times New Roman" w:cs="Times New Roman"/>
                <w:kern w:val="0"/>
                <w:sz w:val="18"/>
                <w:szCs w:val="18"/>
              </w:rPr>
              <w:t xml:space="preserve"> Interest</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30,833,251.44</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28,528,439.58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28,001,424.56</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26,019,797.12 </w:t>
            </w:r>
          </w:p>
        </w:tc>
      </w:tr>
      <w:tr w:rsidR="000B609E">
        <w:trPr>
          <w:trHeight w:hRule="exact" w:val="1361"/>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Minus: impairment allowances</w:t>
            </w:r>
            <w:r>
              <w:rPr>
                <w:rFonts w:ascii="Times New Roman" w:eastAsia="宋体" w:hAnsi="Times New Roman" w:cs="Times New Roman" w:hint="eastAsia"/>
                <w:color w:val="000000"/>
                <w:kern w:val="0"/>
                <w:sz w:val="18"/>
                <w:szCs w:val="18"/>
              </w:rPr>
              <w:t xml:space="preserve"> of the </w:t>
            </w:r>
            <w:r>
              <w:rPr>
                <w:rFonts w:ascii="Times New Roman" w:eastAsia="宋体" w:hAnsi="Times New Roman" w:cs="Times New Roman"/>
                <w:color w:val="000000"/>
                <w:kern w:val="0"/>
                <w:sz w:val="18"/>
                <w:szCs w:val="18"/>
              </w:rPr>
              <w:t>loan principal</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1,254,095,326.38</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 xml:space="preserve"> 1,373,530,520.23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1,237,595,326.38</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 xml:space="preserve"> 1,359,030,520.23 </w:t>
            </w:r>
          </w:p>
        </w:tc>
      </w:tr>
      <w:tr w:rsidR="000B609E">
        <w:trPr>
          <w:trHeight w:hRule="exact" w:val="1361"/>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Minus: impairment allowances</w:t>
            </w:r>
            <w:r>
              <w:rPr>
                <w:rFonts w:ascii="Times New Roman" w:eastAsia="宋体" w:hAnsi="Times New Roman" w:cs="Times New Roman" w:hint="eastAsia"/>
                <w:color w:val="000000"/>
                <w:kern w:val="0"/>
                <w:sz w:val="18"/>
                <w:szCs w:val="18"/>
              </w:rPr>
              <w:t xml:space="preserve"> of the </w:t>
            </w:r>
            <w:r>
              <w:rPr>
                <w:rFonts w:ascii="Times New Roman" w:eastAsia="宋体" w:hAnsi="Times New Roman" w:cs="Times New Roman" w:hint="eastAsia"/>
                <w:kern w:val="0"/>
                <w:sz w:val="18"/>
                <w:szCs w:val="18"/>
              </w:rPr>
              <w:t>a</w:t>
            </w:r>
            <w:r>
              <w:rPr>
                <w:rFonts w:ascii="Times New Roman" w:eastAsia="宋体" w:hAnsi="Times New Roman" w:cs="Times New Roman"/>
                <w:kern w:val="0"/>
                <w:sz w:val="18"/>
                <w:szCs w:val="18"/>
              </w:rPr>
              <w:t>ccrued Interest</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 xml:space="preserve">-   </w:t>
            </w:r>
          </w:p>
        </w:tc>
        <w:tc>
          <w:tcPr>
            <w:tcW w:w="1842"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 xml:space="preserve">-   </w:t>
            </w:r>
          </w:p>
        </w:tc>
        <w:tc>
          <w:tcPr>
            <w:tcW w:w="2481"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r>
      <w:tr w:rsidR="000B609E">
        <w:trPr>
          <w:trHeight w:hRule="exact" w:val="454"/>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color w:val="000000"/>
                <w:kern w:val="0"/>
                <w:sz w:val="18"/>
                <w:szCs w:val="18"/>
              </w:rPr>
            </w:pPr>
            <w:r>
              <w:rPr>
                <w:rFonts w:ascii="Times New Roman" w:eastAsia="宋体" w:hAnsi="Times New Roman" w:cs="Times New Roman"/>
                <w:b/>
                <w:color w:val="000000"/>
                <w:kern w:val="0"/>
                <w:sz w:val="18"/>
                <w:szCs w:val="18"/>
              </w:rPr>
              <w:t>Total</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kern w:val="0"/>
                <w:sz w:val="20"/>
                <w:szCs w:val="20"/>
              </w:rPr>
              <w:t>20,768,671,140.68</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rPr>
              <w:t xml:space="preserve">19,543,343,377.62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kern w:val="0"/>
                <w:sz w:val="20"/>
                <w:szCs w:val="20"/>
              </w:rPr>
              <w:t>20,175,965,250.56</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rPr>
              <w:t xml:space="preserve">19,026,576,211.95 </w:t>
            </w:r>
          </w:p>
        </w:tc>
      </w:tr>
      <w:tr w:rsidR="000B609E">
        <w:trPr>
          <w:trHeight w:hRule="exact" w:val="794"/>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right="360" w:firstLineChars="0" w:firstLine="0"/>
              <w:textAlignment w:val="bottom"/>
              <w:rPr>
                <w:rFonts w:ascii="Times New Roman" w:eastAsia="宋体" w:hAnsi="Times New Roman" w:cs="Times New Roman"/>
                <w:b/>
                <w:color w:val="000000"/>
                <w:kern w:val="0"/>
                <w:sz w:val="18"/>
                <w:szCs w:val="18"/>
              </w:rPr>
            </w:pPr>
            <w:r>
              <w:rPr>
                <w:rFonts w:ascii="Times New Roman" w:eastAsia="宋体" w:hAnsi="Times New Roman" w:cs="Times New Roman"/>
                <w:snapToGrid w:val="0"/>
                <w:color w:val="000000"/>
                <w:kern w:val="0"/>
                <w:sz w:val="18"/>
                <w:szCs w:val="18"/>
                <w:lang w:bidi="ar"/>
              </w:rPr>
              <w:t xml:space="preserve">Loans and advances measured at </w:t>
            </w:r>
            <w:r>
              <w:rPr>
                <w:rFonts w:ascii="Times New Roman" w:eastAsia="宋体" w:hAnsi="Times New Roman" w:cs="Times New Roman" w:hint="eastAsia"/>
                <w:snapToGrid w:val="0"/>
                <w:color w:val="000000"/>
                <w:kern w:val="0"/>
                <w:sz w:val="18"/>
                <w:szCs w:val="18"/>
                <w:lang w:bidi="ar"/>
              </w:rPr>
              <w:t>FVOCI</w:t>
            </w:r>
          </w:p>
        </w:tc>
        <w:tc>
          <w:tcPr>
            <w:tcW w:w="1845"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42"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43"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481"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r>
      <w:tr w:rsidR="000B609E">
        <w:trPr>
          <w:trHeight w:hRule="exact" w:val="794"/>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right="360" w:firstLineChars="0" w:firstLine="0"/>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Loans and Advances to enterprises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2,175,292,125.18</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1,438,103,740.50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2,175,292,125.18</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1,438,103,740.50 </w:t>
            </w:r>
          </w:p>
        </w:tc>
      </w:tr>
      <w:tr w:rsidR="000B609E">
        <w:trPr>
          <w:trHeight w:hRule="exact" w:val="454"/>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left="180" w:right="360" w:hangingChars="100" w:hanging="180"/>
              <w:textAlignment w:val="bottom"/>
              <w:rPr>
                <w:rFonts w:ascii="Times New Roman" w:eastAsia="宋体" w:hAnsi="Times New Roman" w:cs="Times New Roman"/>
                <w:snapToGrid w:val="0"/>
                <w:color w:val="000000"/>
                <w:kern w:val="0"/>
                <w:sz w:val="18"/>
                <w:szCs w:val="18"/>
                <w:lang w:bidi="ar"/>
              </w:rPr>
            </w:pPr>
            <w:proofErr w:type="spellStart"/>
            <w:proofErr w:type="gramStart"/>
            <w:r>
              <w:rPr>
                <w:rFonts w:ascii="Times New Roman" w:eastAsia="宋体" w:hAnsi="Times New Roman" w:cs="Times New Roman"/>
                <w:snapToGrid w:val="0"/>
                <w:color w:val="000000"/>
                <w:kern w:val="0"/>
                <w:sz w:val="18"/>
                <w:szCs w:val="18"/>
                <w:lang w:bidi="ar"/>
              </w:rPr>
              <w:t>Including:</w:t>
            </w:r>
            <w:r>
              <w:rPr>
                <w:rFonts w:ascii="Times New Roman" w:eastAsia="宋体" w:hAnsi="Times New Roman" w:cs="Times New Roman"/>
                <w:color w:val="000000"/>
                <w:kern w:val="0"/>
                <w:sz w:val="18"/>
                <w:szCs w:val="18"/>
              </w:rPr>
              <w:t>Discount</w:t>
            </w:r>
            <w:proofErr w:type="spellEnd"/>
            <w:proofErr w:type="gramEnd"/>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2,175,292,125.18</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1,438,103,740.50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2,175,292,125.18</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1,438,103,740.50 </w:t>
            </w:r>
          </w:p>
        </w:tc>
      </w:tr>
      <w:tr w:rsidR="000B609E">
        <w:trPr>
          <w:trHeight w:hRule="exact" w:val="454"/>
        </w:trPr>
        <w:tc>
          <w:tcPr>
            <w:tcW w:w="2309" w:type="dxa"/>
            <w:tcBorders>
              <w:top w:val="nil"/>
              <w:bottom w:val="single" w:sz="4" w:space="0" w:color="auto"/>
              <w:right w:val="single" w:sz="4" w:space="0" w:color="auto"/>
            </w:tcBorders>
            <w:shd w:val="clear" w:color="auto" w:fill="auto"/>
            <w:vAlign w:val="center"/>
          </w:tcPr>
          <w:p w:rsidR="000B609E" w:rsidRDefault="00B220E1">
            <w:pPr>
              <w:spacing w:afterLines="0" w:after="0"/>
              <w:ind w:left="181" w:right="360" w:hangingChars="100" w:hanging="181"/>
              <w:jc w:val="center"/>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b/>
                <w:color w:val="000000"/>
                <w:kern w:val="0"/>
                <w:sz w:val="18"/>
                <w:szCs w:val="18"/>
              </w:rPr>
              <w:t>Subtotal</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sz w:val="20"/>
                <w:szCs w:val="20"/>
              </w:rPr>
              <w:t>2,175,292,125.18</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 1,438,103,740.50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sz w:val="20"/>
                <w:szCs w:val="20"/>
              </w:rPr>
              <w:t>2,175,292,125.18</w:t>
            </w:r>
          </w:p>
        </w:tc>
        <w:tc>
          <w:tcPr>
            <w:tcW w:w="248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 1,438,103,740.50 </w:t>
            </w:r>
          </w:p>
        </w:tc>
      </w:tr>
      <w:tr w:rsidR="000B609E">
        <w:trPr>
          <w:trHeight w:hRule="exact" w:val="907"/>
        </w:trPr>
        <w:tc>
          <w:tcPr>
            <w:tcW w:w="2309" w:type="dxa"/>
            <w:tcBorders>
              <w:top w:val="nil"/>
              <w:bottom w:val="double" w:sz="4" w:space="0" w:color="auto"/>
              <w:right w:val="single" w:sz="4" w:space="0" w:color="auto"/>
            </w:tcBorders>
            <w:shd w:val="clear" w:color="auto" w:fill="auto"/>
            <w:vAlign w:val="center"/>
          </w:tcPr>
          <w:p w:rsidR="000B609E" w:rsidRDefault="00B220E1">
            <w:pPr>
              <w:spacing w:afterLines="0" w:after="0"/>
              <w:ind w:right="320" w:firstLineChars="0" w:firstLine="0"/>
              <w:jc w:val="center"/>
              <w:textAlignment w:val="bottom"/>
              <w:rPr>
                <w:rFonts w:ascii="Times New Roman" w:eastAsia="宋体" w:hAnsi="Times New Roman" w:cs="Times New Roman"/>
                <w:b/>
                <w:snapToGrid w:val="0"/>
                <w:color w:val="000000"/>
                <w:kern w:val="0"/>
                <w:sz w:val="18"/>
                <w:szCs w:val="18"/>
                <w:lang w:bidi="ar"/>
              </w:rPr>
            </w:pPr>
            <w:r>
              <w:rPr>
                <w:rFonts w:ascii="Times New Roman" w:eastAsia="宋体" w:hAnsi="Times New Roman" w:cs="Times New Roman"/>
                <w:b/>
                <w:snapToGrid w:val="0"/>
                <w:color w:val="000000"/>
                <w:kern w:val="0"/>
                <w:sz w:val="18"/>
                <w:szCs w:val="18"/>
                <w:lang w:bidi="ar"/>
              </w:rPr>
              <w:t>Loans and advances to customers net value</w:t>
            </w:r>
          </w:p>
        </w:tc>
        <w:tc>
          <w:tcPr>
            <w:tcW w:w="1845"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kern w:val="0"/>
                <w:sz w:val="20"/>
                <w:szCs w:val="20"/>
              </w:rPr>
              <w:t>22,943,963,265.86</w:t>
            </w:r>
          </w:p>
        </w:tc>
        <w:tc>
          <w:tcPr>
            <w:tcW w:w="184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rPr>
              <w:t xml:space="preserve">20,981,447,118.12 </w:t>
            </w:r>
          </w:p>
        </w:tc>
        <w:tc>
          <w:tcPr>
            <w:tcW w:w="1843"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kern w:val="0"/>
                <w:sz w:val="20"/>
                <w:szCs w:val="20"/>
              </w:rPr>
              <w:t>22,351,257,375.74</w:t>
            </w:r>
          </w:p>
        </w:tc>
        <w:tc>
          <w:tcPr>
            <w:tcW w:w="2481"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rPr>
              <w:t xml:space="preserve">20,464,679,952.45 </w:t>
            </w:r>
          </w:p>
        </w:tc>
      </w:tr>
    </w:tbl>
    <w:p w:rsidR="000B609E" w:rsidRDefault="00B220E1">
      <w:pPr>
        <w:pStyle w:val="11"/>
        <w:spacing w:beforeLines="50" w:before="156" w:after="156" w:line="360" w:lineRule="auto"/>
        <w:ind w:firstLine="480"/>
        <w:rPr>
          <w:rFonts w:ascii="Times New Roman" w:hAnsi="Times New Roman" w:cs="Times New Roman"/>
          <w:sz w:val="24"/>
          <w:szCs w:val="24"/>
        </w:rPr>
      </w:pPr>
      <w:r>
        <w:rPr>
          <w:rFonts w:ascii="Times New Roman" w:hAnsi="Times New Roman" w:cs="Times New Roman"/>
          <w:sz w:val="24"/>
          <w:szCs w:val="24"/>
        </w:rPr>
        <w:lastRenderedPageBreak/>
        <w:t xml:space="preserve">Note: </w:t>
      </w:r>
      <w:r>
        <w:rPr>
          <w:rFonts w:ascii="Times New Roman" w:hAnsi="Times New Roman" w:cs="Times New Roman" w:hint="eastAsia"/>
          <w:sz w:val="24"/>
          <w:szCs w:val="24"/>
        </w:rPr>
        <w:t>The i</w:t>
      </w:r>
      <w:r>
        <w:rPr>
          <w:rFonts w:ascii="Times New Roman" w:hAnsi="Times New Roman" w:cs="Times New Roman"/>
          <w:sz w:val="24"/>
          <w:szCs w:val="24"/>
        </w:rPr>
        <w:t>mpairment allowances</w:t>
      </w:r>
      <w:r>
        <w:rPr>
          <w:rFonts w:ascii="Times New Roman" w:hAnsi="Times New Roman" w:cs="Times New Roman" w:hint="eastAsia"/>
          <w:sz w:val="24"/>
          <w:szCs w:val="24"/>
        </w:rPr>
        <w:t xml:space="preserve"> of </w:t>
      </w:r>
      <w:r>
        <w:rPr>
          <w:rFonts w:ascii="Times New Roman" w:hAnsi="Times New Roman" w:cs="Times New Roman"/>
          <w:sz w:val="24"/>
          <w:szCs w:val="24"/>
        </w:rPr>
        <w:t xml:space="preserve">Loans and advances measured at </w:t>
      </w:r>
      <w:r>
        <w:rPr>
          <w:rFonts w:ascii="Times New Roman" w:hAnsi="Times New Roman" w:cs="Times New Roman" w:hint="eastAsia"/>
          <w:sz w:val="24"/>
          <w:szCs w:val="24"/>
        </w:rPr>
        <w:t>FVOCI is 47,460,016.24 On December 31, 2020 (Refer to the details in note 30).</w:t>
      </w:r>
    </w:p>
    <w:p w:rsidR="000B609E" w:rsidRDefault="00B220E1">
      <w:pPr>
        <w:pStyle w:val="11"/>
        <w:numPr>
          <w:ilvl w:val="0"/>
          <w:numId w:val="20"/>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Distribution </w:t>
      </w:r>
      <w:r>
        <w:rPr>
          <w:rFonts w:ascii="Times New Roman" w:hAnsi="Times New Roman" w:cs="Times New Roman" w:hint="eastAsia"/>
          <w:sz w:val="24"/>
          <w:szCs w:val="24"/>
        </w:rPr>
        <w:t>s</w:t>
      </w:r>
      <w:r>
        <w:rPr>
          <w:rFonts w:ascii="Times New Roman" w:hAnsi="Times New Roman" w:cs="Times New Roman"/>
          <w:sz w:val="24"/>
          <w:szCs w:val="24"/>
        </w:rPr>
        <w:t xml:space="preserve">ituations of </w:t>
      </w:r>
      <w:r>
        <w:rPr>
          <w:rFonts w:ascii="Times New Roman" w:hAnsi="Times New Roman" w:cs="Times New Roman" w:hint="eastAsia"/>
          <w:sz w:val="24"/>
          <w:szCs w:val="24"/>
        </w:rPr>
        <w:t>i</w:t>
      </w:r>
      <w:r>
        <w:rPr>
          <w:rFonts w:ascii="Times New Roman" w:hAnsi="Times New Roman" w:cs="Times New Roman"/>
          <w:sz w:val="24"/>
          <w:szCs w:val="24"/>
        </w:rPr>
        <w:t xml:space="preserve">ssued </w:t>
      </w:r>
      <w:r>
        <w:rPr>
          <w:rFonts w:ascii="Times New Roman" w:hAnsi="Times New Roman" w:cs="Times New Roman" w:hint="eastAsia"/>
          <w:sz w:val="24"/>
          <w:szCs w:val="24"/>
        </w:rPr>
        <w:t>l</w:t>
      </w:r>
      <w:r>
        <w:rPr>
          <w:rFonts w:ascii="Times New Roman" w:hAnsi="Times New Roman" w:cs="Times New Roman"/>
          <w:sz w:val="24"/>
          <w:szCs w:val="24"/>
        </w:rPr>
        <w:t xml:space="preserve">oans by </w:t>
      </w:r>
      <w:r>
        <w:rPr>
          <w:rFonts w:ascii="Times New Roman" w:hAnsi="Times New Roman" w:cs="Times New Roman" w:hint="eastAsia"/>
          <w:sz w:val="24"/>
          <w:szCs w:val="24"/>
        </w:rPr>
        <w:t>i</w:t>
      </w:r>
      <w:r>
        <w:rPr>
          <w:rFonts w:ascii="Times New Roman" w:hAnsi="Times New Roman" w:cs="Times New Roman"/>
          <w:sz w:val="24"/>
          <w:szCs w:val="24"/>
        </w:rPr>
        <w:t>ndustries</w:t>
      </w:r>
      <w:r>
        <w:rPr>
          <w:rFonts w:ascii="Times New Roman" w:hAnsi="Times New Roman" w:cs="Times New Roman" w:hint="eastAsia"/>
          <w:sz w:val="24"/>
          <w:szCs w:val="24"/>
        </w:rPr>
        <w:t xml:space="preserve"> (</w:t>
      </w:r>
      <w:r>
        <w:rPr>
          <w:rFonts w:ascii="Times New Roman" w:hAnsi="Times New Roman" w:cs="Times New Roman"/>
          <w:sz w:val="24"/>
          <w:szCs w:val="24"/>
        </w:rPr>
        <w:t>enterprises</w:t>
      </w:r>
      <w:r>
        <w:rPr>
          <w:rFonts w:ascii="Times New Roman" w:hAnsi="Times New Roman" w:cs="Times New Roman" w:hint="eastAsia"/>
          <w:sz w:val="24"/>
          <w:szCs w:val="24"/>
        </w:rPr>
        <w:t>)</w:t>
      </w:r>
    </w:p>
    <w:tbl>
      <w:tblPr>
        <w:tblW w:w="10332" w:type="dxa"/>
        <w:tblInd w:w="-918" w:type="dxa"/>
        <w:tblLayout w:type="fixed"/>
        <w:tblLook w:val="04A0" w:firstRow="1" w:lastRow="0" w:firstColumn="1" w:lastColumn="0" w:noHBand="0" w:noVBand="1"/>
      </w:tblPr>
      <w:tblGrid>
        <w:gridCol w:w="2616"/>
        <w:gridCol w:w="1844"/>
        <w:gridCol w:w="1844"/>
        <w:gridCol w:w="1976"/>
        <w:gridCol w:w="2052"/>
      </w:tblGrid>
      <w:tr w:rsidR="000B609E">
        <w:trPr>
          <w:trHeight w:val="459"/>
          <w:tblHeader/>
        </w:trPr>
        <w:tc>
          <w:tcPr>
            <w:tcW w:w="2616"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Classifications of Industries</w:t>
            </w:r>
          </w:p>
        </w:tc>
        <w:tc>
          <w:tcPr>
            <w:tcW w:w="3688" w:type="dxa"/>
            <w:gridSpan w:val="2"/>
            <w:tcBorders>
              <w:top w:val="doub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4028"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510"/>
          <w:tblHeader/>
        </w:trPr>
        <w:tc>
          <w:tcPr>
            <w:tcW w:w="2616"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84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2020-12-31</w:t>
            </w:r>
          </w:p>
        </w:tc>
        <w:tc>
          <w:tcPr>
            <w:tcW w:w="184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2019-12-31</w:t>
            </w:r>
          </w:p>
        </w:tc>
        <w:tc>
          <w:tcPr>
            <w:tcW w:w="197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2020-12-31</w:t>
            </w:r>
          </w:p>
        </w:tc>
        <w:tc>
          <w:tcPr>
            <w:tcW w:w="2052"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2019-12-31</w:t>
            </w:r>
          </w:p>
        </w:tc>
      </w:tr>
      <w:tr w:rsidR="00655B58" w:rsidTr="00655B58">
        <w:trPr>
          <w:trHeight w:hRule="exact" w:val="907"/>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Agriculture, forestry, farming and fishery</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812CB1">
              <w:rPr>
                <w:rFonts w:ascii="Arial Narrow" w:eastAsia="宋体" w:hAnsi="Arial Narrow" w:cs="Arial Narrow"/>
                <w:snapToGrid w:val="0"/>
                <w:kern w:val="0"/>
                <w:sz w:val="20"/>
                <w:szCs w:val="20"/>
                <w:lang w:val="en-GB"/>
              </w:rPr>
              <w:t>92,250,100.0</w:t>
            </w:r>
            <w:r w:rsidRPr="00812CB1">
              <w:rPr>
                <w:rFonts w:ascii="Arial Narrow" w:eastAsia="宋体" w:hAnsi="Arial Narrow" w:cs="Arial Narrow" w:hint="eastAsia"/>
                <w:snapToGrid w:val="0"/>
                <w:kern w:val="0"/>
                <w:sz w:val="20"/>
                <w:szCs w:val="20"/>
                <w:lang w:val="en-GB"/>
              </w:rPr>
              <w:t>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60,366,778.36</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92,250,100.00</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60,366,778.36</w:t>
            </w:r>
          </w:p>
        </w:tc>
      </w:tr>
      <w:tr w:rsidR="00655B58" w:rsidTr="00655B58">
        <w:trPr>
          <w:trHeight w:hRule="exact" w:val="454"/>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Manufacturing</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4,577,372,645.66</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3,782,370,675.98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4,527,672,645.66</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3,716,700,675.98 </w:t>
            </w:r>
          </w:p>
        </w:tc>
      </w:tr>
      <w:tr w:rsidR="00655B58" w:rsidTr="00655B58">
        <w:trPr>
          <w:trHeight w:hRule="exact" w:val="907"/>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Production and Supply of Electricity, Gas and Water</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44,800,000.00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17,800,000.00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44,800,000.00</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17,800,000.00 </w:t>
            </w:r>
          </w:p>
        </w:tc>
      </w:tr>
      <w:tr w:rsidR="00655B58" w:rsidTr="00655B58">
        <w:trPr>
          <w:trHeight w:hRule="exact" w:val="454"/>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Construction</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1,519,529,174.00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1,337,429,229.39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1,512,529,174.00</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1,332,429,229.39 </w:t>
            </w:r>
          </w:p>
        </w:tc>
      </w:tr>
      <w:tr w:rsidR="00655B58" w:rsidTr="00655B58">
        <w:trPr>
          <w:trHeight w:hRule="exact" w:val="907"/>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Transportation, Warehousing and Postal Service</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87,100,000.00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90,800,000.00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87,100,000.00</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90,800,000.00 </w:t>
            </w:r>
          </w:p>
        </w:tc>
      </w:tr>
      <w:tr w:rsidR="00655B58" w:rsidTr="00655B58">
        <w:trPr>
          <w:trHeight w:hRule="exact" w:val="907"/>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Information Transmission, Computer Services and Software</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9,000,000.00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56,900,000.00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9,000,000.00</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56,900,000.00 </w:t>
            </w:r>
          </w:p>
        </w:tc>
      </w:tr>
      <w:tr w:rsidR="00655B58" w:rsidTr="00655B58">
        <w:trPr>
          <w:trHeight w:hRule="exact" w:val="454"/>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Wholesale and Retail Sales</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1,038,270,295.13</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1,029,055,000.00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1,020,070,295.13</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1,020,455,000.00 </w:t>
            </w:r>
          </w:p>
        </w:tc>
      </w:tr>
      <w:tr w:rsidR="00655B58" w:rsidTr="00655B58">
        <w:trPr>
          <w:trHeight w:hRule="exact" w:val="454"/>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Hotel and catering</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323,090,000.00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537,586,622.65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323,090,000.00</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537,586,622.65 </w:t>
            </w:r>
          </w:p>
        </w:tc>
      </w:tr>
      <w:tr w:rsidR="00655B58" w:rsidTr="00655B58">
        <w:trPr>
          <w:trHeight w:hRule="exact" w:val="454"/>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Trade financing</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4,887,103,561.09</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5,883,440,089.09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4,887,103,561.09</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5,883,440,089.09 </w:t>
            </w:r>
          </w:p>
        </w:tc>
      </w:tr>
      <w:tr w:rsidR="00655B58" w:rsidTr="00655B58">
        <w:trPr>
          <w:trHeight w:hRule="exact" w:val="454"/>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Real estate</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252,100,000.00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292,700,000.00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252,100,000.00</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292,700,000.00 </w:t>
            </w:r>
          </w:p>
        </w:tc>
      </w:tr>
      <w:tr w:rsidR="00655B58" w:rsidTr="00655B58">
        <w:trPr>
          <w:trHeight w:hRule="exact" w:val="907"/>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Leasing and Commercial Services</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324,435,000.00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244,727,655.18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279,435,000.00</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195,727,655.18 </w:t>
            </w:r>
          </w:p>
        </w:tc>
      </w:tr>
      <w:tr w:rsidR="00655B58" w:rsidTr="00655B58">
        <w:trPr>
          <w:trHeight w:hRule="exact" w:val="1361"/>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Scientific Research, Technical Services and Geological Prospecting Industry</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80,858,000.00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49,980,000.00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80,858,000.00</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49,980,000.00 </w:t>
            </w:r>
          </w:p>
        </w:tc>
      </w:tr>
      <w:tr w:rsidR="00655B58" w:rsidTr="00655B58">
        <w:trPr>
          <w:trHeight w:hRule="exact" w:val="1361"/>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Water Conservancy, Environment and Public Facility Management</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78,000,000.00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225,500,000.00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78,000,000.00</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225,500,000.00 </w:t>
            </w:r>
          </w:p>
        </w:tc>
      </w:tr>
      <w:tr w:rsidR="00655B58" w:rsidTr="00655B58">
        <w:trPr>
          <w:trHeight w:hRule="exact" w:val="907"/>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lastRenderedPageBreak/>
              <w:t>Resident Services and Other Services</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37,000,000.00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32,400,000.00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37,000,000.00</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32,400,000.00 </w:t>
            </w:r>
          </w:p>
        </w:tc>
      </w:tr>
      <w:tr w:rsidR="00655B58" w:rsidTr="00655B58">
        <w:trPr>
          <w:trHeight w:hRule="exact" w:val="907"/>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Education, culture, sports and entertainment</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380,409,999.99</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310,472,614.00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sidRPr="00655B58">
              <w:rPr>
                <w:rFonts w:ascii="Arial Narrow" w:eastAsia="宋体" w:hAnsi="Arial Narrow" w:cs="Arial Narrow"/>
                <w:snapToGrid w:val="0"/>
                <w:kern w:val="0"/>
                <w:sz w:val="20"/>
                <w:szCs w:val="20"/>
                <w:lang w:val="en-GB"/>
              </w:rPr>
              <w:t>380,409,999.99</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310,472,614.00 </w:t>
            </w:r>
          </w:p>
        </w:tc>
      </w:tr>
      <w:tr w:rsidR="00655B58" w:rsidTr="00655B58">
        <w:trPr>
          <w:trHeight w:hRule="exact" w:val="454"/>
        </w:trPr>
        <w:tc>
          <w:tcPr>
            <w:tcW w:w="2616" w:type="dxa"/>
            <w:tcBorders>
              <w:top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Discount</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4,123,098,003.10</w:t>
            </w:r>
          </w:p>
        </w:tc>
        <w:tc>
          <w:tcPr>
            <w:tcW w:w="1844" w:type="dxa"/>
            <w:tcBorders>
              <w:top w:val="nil"/>
              <w:left w:val="nil"/>
              <w:bottom w:val="sing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2,753,151,968.00 </w:t>
            </w:r>
          </w:p>
        </w:tc>
        <w:tc>
          <w:tcPr>
            <w:tcW w:w="1976" w:type="dxa"/>
            <w:tcBorders>
              <w:top w:val="nil"/>
              <w:left w:val="nil"/>
              <w:bottom w:val="single" w:sz="4" w:space="0" w:color="auto"/>
              <w:right w:val="single" w:sz="4" w:space="0" w:color="auto"/>
            </w:tcBorders>
            <w:shd w:val="clear" w:color="auto" w:fill="auto"/>
            <w:vAlign w:val="center"/>
          </w:tcPr>
          <w:p w:rsidR="00655B58" w:rsidRPr="00655B58" w:rsidRDefault="006D5E8E" w:rsidP="00655B58">
            <w:pPr>
              <w:spacing w:afterLines="0" w:after="0"/>
              <w:ind w:firstLineChars="0" w:firstLine="0"/>
              <w:jc w:val="right"/>
              <w:rPr>
                <w:rFonts w:ascii="Arial Narrow" w:eastAsia="宋体" w:hAnsi="Arial Narrow" w:cs="Arial Narrow"/>
                <w:snapToGrid w:val="0"/>
                <w:kern w:val="0"/>
                <w:sz w:val="20"/>
                <w:szCs w:val="20"/>
                <w:lang w:val="en-GB"/>
              </w:rPr>
            </w:pPr>
            <w:r w:rsidRPr="006D5E8E">
              <w:rPr>
                <w:rFonts w:ascii="Arial Narrow" w:eastAsia="宋体" w:hAnsi="Arial Narrow" w:cs="Arial Narrow"/>
                <w:snapToGrid w:val="0"/>
                <w:kern w:val="0"/>
                <w:sz w:val="20"/>
                <w:szCs w:val="20"/>
                <w:lang w:val="en-GB"/>
              </w:rPr>
              <w:t>4,044,762,131.26</w:t>
            </w:r>
          </w:p>
        </w:tc>
        <w:tc>
          <w:tcPr>
            <w:tcW w:w="2052" w:type="dxa"/>
            <w:tcBorders>
              <w:top w:val="nil"/>
              <w:left w:val="nil"/>
              <w:bottom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2,664,771,284.74 </w:t>
            </w:r>
          </w:p>
        </w:tc>
      </w:tr>
      <w:tr w:rsidR="00655B58" w:rsidTr="00655B58">
        <w:trPr>
          <w:trHeight w:hRule="exact" w:val="907"/>
        </w:trPr>
        <w:tc>
          <w:tcPr>
            <w:tcW w:w="2616" w:type="dxa"/>
            <w:tcBorders>
              <w:top w:val="nil"/>
              <w:bottom w:val="double" w:sz="4" w:space="0" w:color="auto"/>
              <w:right w:val="single" w:sz="4" w:space="0" w:color="auto"/>
            </w:tcBorders>
            <w:shd w:val="clear" w:color="auto" w:fill="auto"/>
            <w:vAlign w:val="center"/>
          </w:tcPr>
          <w:p w:rsidR="00655B58" w:rsidRDefault="00655B58" w:rsidP="00655B58">
            <w:pPr>
              <w:spacing w:afterLines="0" w:after="0"/>
              <w:ind w:firstLineChars="0" w:firstLine="0"/>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Loans and Advances to enterprises total value</w:t>
            </w:r>
          </w:p>
        </w:tc>
        <w:tc>
          <w:tcPr>
            <w:tcW w:w="1844" w:type="dxa"/>
            <w:tcBorders>
              <w:top w:val="nil"/>
              <w:left w:val="nil"/>
              <w:bottom w:val="doub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color w:val="000000"/>
                <w:sz w:val="20"/>
                <w:szCs w:val="20"/>
              </w:rPr>
              <w:t>17,854,416,778.97</w:t>
            </w:r>
          </w:p>
        </w:tc>
        <w:tc>
          <w:tcPr>
            <w:tcW w:w="1844" w:type="dxa"/>
            <w:tcBorders>
              <w:top w:val="nil"/>
              <w:left w:val="nil"/>
              <w:bottom w:val="double" w:sz="4" w:space="0" w:color="auto"/>
              <w:right w:val="single" w:sz="4" w:space="0" w:color="auto"/>
            </w:tcBorders>
            <w:shd w:val="clear" w:color="auto" w:fill="auto"/>
            <w:vAlign w:val="center"/>
          </w:tcPr>
          <w:p w:rsidR="00655B58" w:rsidRDefault="00655B58" w:rsidP="00655B58">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 16,704,680,632.65 </w:t>
            </w:r>
          </w:p>
        </w:tc>
        <w:tc>
          <w:tcPr>
            <w:tcW w:w="1976" w:type="dxa"/>
            <w:tcBorders>
              <w:top w:val="nil"/>
              <w:left w:val="nil"/>
              <w:bottom w:val="double" w:sz="4" w:space="0" w:color="auto"/>
              <w:right w:val="single" w:sz="4" w:space="0" w:color="auto"/>
            </w:tcBorders>
            <w:shd w:val="clear" w:color="auto" w:fill="auto"/>
            <w:vAlign w:val="center"/>
          </w:tcPr>
          <w:p w:rsidR="00655B58" w:rsidRPr="00655B58" w:rsidRDefault="006D5E8E" w:rsidP="00655B58">
            <w:pPr>
              <w:spacing w:afterLines="0" w:after="0"/>
              <w:ind w:firstLineChars="0" w:firstLine="0"/>
              <w:jc w:val="right"/>
              <w:rPr>
                <w:rFonts w:ascii="Arial Narrow" w:eastAsia="宋体" w:hAnsi="Arial Narrow" w:cs="Arial Narrow"/>
                <w:b/>
                <w:snapToGrid w:val="0"/>
                <w:kern w:val="0"/>
                <w:sz w:val="20"/>
                <w:szCs w:val="20"/>
                <w:lang w:val="en-GB"/>
              </w:rPr>
            </w:pPr>
            <w:r w:rsidRPr="006D5E8E">
              <w:rPr>
                <w:rFonts w:ascii="Arial Narrow" w:eastAsia="宋体" w:hAnsi="Arial Narrow" w:cs="Arial Narrow"/>
                <w:b/>
                <w:snapToGrid w:val="0"/>
                <w:kern w:val="0"/>
                <w:sz w:val="20"/>
                <w:szCs w:val="20"/>
                <w:lang w:val="en-GB"/>
              </w:rPr>
              <w:t>17,656,180,907.13</w:t>
            </w:r>
          </w:p>
        </w:tc>
        <w:tc>
          <w:tcPr>
            <w:tcW w:w="2052" w:type="dxa"/>
            <w:tcBorders>
              <w:top w:val="nil"/>
              <w:left w:val="nil"/>
              <w:bottom w:val="double" w:sz="4" w:space="0" w:color="auto"/>
            </w:tcBorders>
            <w:shd w:val="clear" w:color="auto" w:fill="auto"/>
            <w:vAlign w:val="center"/>
          </w:tcPr>
          <w:p w:rsidR="00655B58" w:rsidRPr="00655B58" w:rsidRDefault="00655B58" w:rsidP="00655B58">
            <w:pPr>
              <w:spacing w:afterLines="0" w:after="0"/>
              <w:ind w:firstLineChars="0" w:firstLine="0"/>
              <w:jc w:val="right"/>
              <w:rPr>
                <w:rFonts w:ascii="Arial Narrow" w:eastAsia="宋体" w:hAnsi="Arial Narrow" w:cs="Arial Narrow"/>
                <w:b/>
                <w:bCs/>
                <w:snapToGrid w:val="0"/>
                <w:kern w:val="0"/>
                <w:sz w:val="20"/>
                <w:szCs w:val="20"/>
                <w:lang w:val="en-GB"/>
              </w:rPr>
            </w:pPr>
            <w:r w:rsidRPr="00655B58">
              <w:rPr>
                <w:rFonts w:ascii="Arial Narrow" w:eastAsia="宋体" w:hAnsi="Arial Narrow" w:cs="Arial Narrow" w:hint="eastAsia"/>
                <w:b/>
                <w:bCs/>
                <w:snapToGrid w:val="0"/>
                <w:kern w:val="0"/>
                <w:sz w:val="20"/>
                <w:szCs w:val="20"/>
                <w:lang w:val="en-GB"/>
              </w:rPr>
              <w:t xml:space="preserve"> 16,488,029,949.39 </w:t>
            </w:r>
          </w:p>
        </w:tc>
      </w:tr>
    </w:tbl>
    <w:p w:rsidR="000B609E" w:rsidRDefault="00B220E1">
      <w:pPr>
        <w:pStyle w:val="11"/>
        <w:numPr>
          <w:ilvl w:val="0"/>
          <w:numId w:val="20"/>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Classificat</w:t>
      </w:r>
      <w:r>
        <w:rPr>
          <w:rFonts w:ascii="Times New Roman" w:hAnsi="Times New Roman" w:cs="Times New Roman" w:hint="eastAsia"/>
          <w:sz w:val="24"/>
          <w:szCs w:val="24"/>
        </w:rPr>
        <w:t>ion</w:t>
      </w:r>
      <w:r>
        <w:rPr>
          <w:rFonts w:ascii="Times New Roman" w:hAnsi="Times New Roman" w:cs="Times New Roman"/>
          <w:sz w:val="24"/>
          <w:szCs w:val="24"/>
        </w:rPr>
        <w:t>s</w:t>
      </w:r>
      <w:r>
        <w:rPr>
          <w:rFonts w:ascii="Times New Roman" w:hAnsi="Times New Roman" w:cs="Times New Roman" w:hint="eastAsia"/>
          <w:sz w:val="24"/>
          <w:szCs w:val="24"/>
        </w:rPr>
        <w:t xml:space="preserve"> </w:t>
      </w:r>
      <w:r>
        <w:rPr>
          <w:rFonts w:ascii="Times New Roman" w:hAnsi="Times New Roman" w:cs="Times New Roman"/>
          <w:sz w:val="24"/>
          <w:szCs w:val="24"/>
        </w:rPr>
        <w:t>of</w:t>
      </w:r>
      <w:r>
        <w:rPr>
          <w:rFonts w:ascii="Times New Roman" w:hAnsi="Times New Roman" w:cs="Times New Roman" w:hint="eastAsia"/>
          <w:sz w:val="24"/>
          <w:szCs w:val="24"/>
        </w:rPr>
        <w:t xml:space="preserve"> </w:t>
      </w:r>
      <w:r>
        <w:rPr>
          <w:rFonts w:ascii="Times New Roman" w:hAnsi="Times New Roman" w:cs="Times New Roman"/>
          <w:sz w:val="24"/>
          <w:szCs w:val="24"/>
        </w:rPr>
        <w:t>individuals’ loans and advances</w:t>
      </w:r>
    </w:p>
    <w:tbl>
      <w:tblPr>
        <w:tblW w:w="10296" w:type="dxa"/>
        <w:tblInd w:w="-892"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2291"/>
        <w:gridCol w:w="1789"/>
        <w:gridCol w:w="2040"/>
        <w:gridCol w:w="1884"/>
        <w:gridCol w:w="2292"/>
      </w:tblGrid>
      <w:tr w:rsidR="000B609E">
        <w:trPr>
          <w:trHeight w:val="109"/>
          <w:tblHeader/>
        </w:trPr>
        <w:tc>
          <w:tcPr>
            <w:tcW w:w="2291" w:type="dxa"/>
            <w:vMerge w:val="restart"/>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829" w:type="dxa"/>
            <w:gridSpan w:val="2"/>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4176" w:type="dxa"/>
            <w:gridSpan w:val="2"/>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121"/>
          <w:tblHeader/>
        </w:trPr>
        <w:tc>
          <w:tcPr>
            <w:tcW w:w="2291" w:type="dxa"/>
            <w:vMerge/>
            <w:shd w:val="clear" w:color="auto" w:fill="auto"/>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789" w:type="dxa"/>
            <w:shd w:val="clear" w:color="auto" w:fill="auto"/>
            <w:vAlign w:val="bottom"/>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2040" w:type="dxa"/>
            <w:shd w:val="clear" w:color="auto" w:fill="auto"/>
            <w:vAlign w:val="bottom"/>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1884" w:type="dxa"/>
            <w:shd w:val="clear" w:color="auto" w:fill="auto"/>
            <w:vAlign w:val="bottom"/>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2292" w:type="dxa"/>
            <w:shd w:val="clear" w:color="auto" w:fill="auto"/>
            <w:vAlign w:val="bottom"/>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r>
      <w:tr w:rsidR="000B609E">
        <w:trPr>
          <w:trHeight w:hRule="exact" w:val="454"/>
        </w:trPr>
        <w:tc>
          <w:tcPr>
            <w:tcW w:w="2291" w:type="dxa"/>
            <w:shd w:val="clear" w:color="auto" w:fill="auto"/>
          </w:tcPr>
          <w:p w:rsidR="000B609E" w:rsidRDefault="00B220E1">
            <w:pPr>
              <w:spacing w:afterLines="0" w:after="0"/>
              <w:ind w:right="400" w:firstLineChars="0" w:firstLine="0"/>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Mortgage</w:t>
            </w:r>
          </w:p>
        </w:tc>
        <w:tc>
          <w:tcPr>
            <w:tcW w:w="1789"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2,009,075,644.46</w:t>
            </w:r>
          </w:p>
        </w:tc>
        <w:tc>
          <w:tcPr>
            <w:tcW w:w="20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1,792,967,461.80 </w:t>
            </w:r>
          </w:p>
        </w:tc>
        <w:tc>
          <w:tcPr>
            <w:tcW w:w="188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1,958,049,910.86</w:t>
            </w:r>
          </w:p>
        </w:tc>
        <w:tc>
          <w:tcPr>
            <w:tcW w:w="229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1,734,456,820.74</w:t>
            </w:r>
          </w:p>
        </w:tc>
      </w:tr>
      <w:tr w:rsidR="000B609E">
        <w:trPr>
          <w:trHeight w:hRule="exact" w:val="454"/>
        </w:trPr>
        <w:tc>
          <w:tcPr>
            <w:tcW w:w="2291" w:type="dxa"/>
            <w:shd w:val="clear" w:color="auto" w:fill="auto"/>
          </w:tcPr>
          <w:p w:rsidR="000B609E" w:rsidRDefault="00B220E1">
            <w:pPr>
              <w:spacing w:afterLines="0" w:after="0"/>
              <w:ind w:right="400" w:firstLineChars="0" w:firstLine="0"/>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Business</w:t>
            </w:r>
          </w:p>
        </w:tc>
        <w:tc>
          <w:tcPr>
            <w:tcW w:w="1789"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3,627,362,165.42</w:t>
            </w:r>
          </w:p>
        </w:tc>
        <w:tc>
          <w:tcPr>
            <w:tcW w:w="20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3,485,931,553.86 </w:t>
            </w:r>
          </w:p>
        </w:tc>
        <w:tc>
          <w:tcPr>
            <w:tcW w:w="188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3,316,031,873.61</w:t>
            </w:r>
          </w:p>
        </w:tc>
        <w:tc>
          <w:tcPr>
            <w:tcW w:w="229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3,284,395,565.91</w:t>
            </w:r>
          </w:p>
        </w:tc>
      </w:tr>
      <w:tr w:rsidR="000B609E">
        <w:trPr>
          <w:trHeight w:hRule="exact" w:val="454"/>
        </w:trPr>
        <w:tc>
          <w:tcPr>
            <w:tcW w:w="2291" w:type="dxa"/>
            <w:shd w:val="clear" w:color="auto" w:fill="auto"/>
          </w:tcPr>
          <w:p w:rsidR="000B609E" w:rsidRDefault="00B220E1">
            <w:pPr>
              <w:spacing w:afterLines="0" w:after="0"/>
              <w:ind w:right="400" w:firstLineChars="0" w:firstLine="0"/>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Consumption</w:t>
            </w:r>
          </w:p>
        </w:tc>
        <w:tc>
          <w:tcPr>
            <w:tcW w:w="1789"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675,755,751.95</w:t>
            </w:r>
          </w:p>
        </w:tc>
        <w:tc>
          <w:tcPr>
            <w:tcW w:w="20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342,759,550.46 </w:t>
            </w:r>
          </w:p>
        </w:tc>
        <w:tc>
          <w:tcPr>
            <w:tcW w:w="188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629,973,585.96</w:t>
            </w:r>
          </w:p>
        </w:tc>
        <w:tc>
          <w:tcPr>
            <w:tcW w:w="229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290,698,339.52</w:t>
            </w:r>
          </w:p>
        </w:tc>
      </w:tr>
      <w:tr w:rsidR="000B609E">
        <w:trPr>
          <w:trHeight w:hRule="exact" w:val="454"/>
        </w:trPr>
        <w:tc>
          <w:tcPr>
            <w:tcW w:w="2291" w:type="dxa"/>
            <w:shd w:val="clear" w:color="auto" w:fill="auto"/>
          </w:tcPr>
          <w:p w:rsidR="000B609E" w:rsidRDefault="00B220E1">
            <w:pPr>
              <w:spacing w:afterLines="0" w:after="0"/>
              <w:ind w:right="400" w:firstLineChars="0" w:firstLine="0"/>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Student loan</w:t>
            </w:r>
          </w:p>
        </w:tc>
        <w:tc>
          <w:tcPr>
            <w:tcW w:w="1789"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615,000.00</w:t>
            </w:r>
          </w:p>
        </w:tc>
        <w:tc>
          <w:tcPr>
            <w:tcW w:w="20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110,000.00 </w:t>
            </w:r>
          </w:p>
        </w:tc>
        <w:tc>
          <w:tcPr>
            <w:tcW w:w="188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615,000.00</w:t>
            </w:r>
          </w:p>
        </w:tc>
        <w:tc>
          <w:tcPr>
            <w:tcW w:w="229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110,000.00</w:t>
            </w:r>
          </w:p>
        </w:tc>
      </w:tr>
      <w:tr w:rsidR="000B609E">
        <w:trPr>
          <w:trHeight w:val="121"/>
        </w:trPr>
        <w:tc>
          <w:tcPr>
            <w:tcW w:w="2291" w:type="dxa"/>
            <w:shd w:val="clear" w:color="auto" w:fill="auto"/>
          </w:tcPr>
          <w:p w:rsidR="000B609E" w:rsidRDefault="00B220E1">
            <w:pPr>
              <w:spacing w:afterLines="0" w:after="0"/>
              <w:ind w:right="400" w:firstLineChars="0" w:firstLine="0"/>
              <w:jc w:val="center"/>
              <w:textAlignment w:val="bottom"/>
              <w:rPr>
                <w:rFonts w:ascii="Times New Roman" w:eastAsia="宋体" w:hAnsi="Times New Roman" w:cs="Times New Roman"/>
                <w:b/>
                <w:snapToGrid w:val="0"/>
                <w:color w:val="000000"/>
                <w:kern w:val="0"/>
                <w:sz w:val="18"/>
                <w:szCs w:val="18"/>
                <w:lang w:bidi="ar"/>
              </w:rPr>
            </w:pPr>
            <w:r>
              <w:rPr>
                <w:rFonts w:ascii="Times New Roman" w:eastAsia="宋体" w:hAnsi="Times New Roman" w:cs="Times New Roman"/>
                <w:b/>
                <w:snapToGrid w:val="0"/>
                <w:color w:val="000000"/>
                <w:kern w:val="0"/>
                <w:sz w:val="18"/>
                <w:szCs w:val="18"/>
                <w:lang w:bidi="ar"/>
              </w:rPr>
              <w:t>Individuals’ loans and advances total value</w:t>
            </w:r>
          </w:p>
        </w:tc>
        <w:tc>
          <w:tcPr>
            <w:tcW w:w="1789"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color w:val="000000"/>
                <w:sz w:val="20"/>
                <w:szCs w:val="20"/>
              </w:rPr>
              <w:t>6,312,808,561.83</w:t>
            </w:r>
          </w:p>
        </w:tc>
        <w:tc>
          <w:tcPr>
            <w:tcW w:w="20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5,621,768,566.12</w:t>
            </w:r>
          </w:p>
        </w:tc>
        <w:tc>
          <w:tcPr>
            <w:tcW w:w="1884"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color w:val="000000"/>
                <w:sz w:val="20"/>
                <w:szCs w:val="20"/>
              </w:rPr>
              <w:t>5,904,670,370.43</w:t>
            </w:r>
          </w:p>
        </w:tc>
        <w:tc>
          <w:tcPr>
            <w:tcW w:w="2292"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5,309,660,726.17</w:t>
            </w:r>
          </w:p>
        </w:tc>
      </w:tr>
    </w:tbl>
    <w:p w:rsidR="000B609E" w:rsidRDefault="00B220E1">
      <w:pPr>
        <w:pStyle w:val="11"/>
        <w:numPr>
          <w:ilvl w:val="0"/>
          <w:numId w:val="20"/>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Distribution situations of</w:t>
      </w:r>
      <w:r>
        <w:rPr>
          <w:rFonts w:ascii="Times New Roman" w:hAnsi="Times New Roman" w:cs="Times New Roman" w:hint="eastAsia"/>
          <w:sz w:val="24"/>
          <w:szCs w:val="24"/>
        </w:rPr>
        <w:t xml:space="preserve"> discounted bills</w:t>
      </w:r>
    </w:p>
    <w:tbl>
      <w:tblPr>
        <w:tblStyle w:val="affd"/>
        <w:tblW w:w="10404" w:type="dxa"/>
        <w:tblInd w:w="-964" w:type="dxa"/>
        <w:tblLayout w:type="fixed"/>
        <w:tblLook w:val="04A0" w:firstRow="1" w:lastRow="0" w:firstColumn="1" w:lastColumn="0" w:noHBand="0" w:noVBand="1"/>
      </w:tblPr>
      <w:tblGrid>
        <w:gridCol w:w="1824"/>
        <w:gridCol w:w="1762"/>
        <w:gridCol w:w="2222"/>
        <w:gridCol w:w="1884"/>
        <w:gridCol w:w="2712"/>
      </w:tblGrid>
      <w:tr w:rsidR="000B609E">
        <w:trPr>
          <w:trHeight w:val="578"/>
          <w:tblHeader/>
        </w:trPr>
        <w:tc>
          <w:tcPr>
            <w:tcW w:w="1824" w:type="dxa"/>
            <w:vMerge w:val="restart"/>
            <w:tcBorders>
              <w:top w:val="double" w:sz="4" w:space="0" w:color="auto"/>
              <w:left w:val="double" w:sz="4" w:space="0" w:color="FFFFFF" w:themeColor="background1"/>
            </w:tcBorders>
            <w:vAlign w:val="center"/>
          </w:tcPr>
          <w:p w:rsidR="000B609E" w:rsidRDefault="00B220E1">
            <w:pPr>
              <w:pStyle w:val="11"/>
              <w:spacing w:beforeLines="50" w:before="156"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I</w:t>
            </w:r>
            <w:r>
              <w:rPr>
                <w:rFonts w:ascii="Times New Roman" w:hAnsi="Times New Roman" w:cs="Times New Roman"/>
                <w:b/>
                <w:sz w:val="18"/>
                <w:szCs w:val="18"/>
              </w:rPr>
              <w:t>tems</w:t>
            </w:r>
          </w:p>
        </w:tc>
        <w:tc>
          <w:tcPr>
            <w:tcW w:w="3984" w:type="dxa"/>
            <w:gridSpan w:val="2"/>
            <w:tcBorders>
              <w:top w:val="double" w:sz="4" w:space="0" w:color="auto"/>
            </w:tcBorders>
            <w:vAlign w:val="center"/>
          </w:tcPr>
          <w:p w:rsidR="000B609E" w:rsidRDefault="00B220E1">
            <w:pPr>
              <w:pStyle w:val="11"/>
              <w:spacing w:beforeLines="50" w:before="156"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G</w:t>
            </w:r>
            <w:r>
              <w:rPr>
                <w:rFonts w:ascii="Times New Roman" w:hAnsi="Times New Roman" w:cs="Times New Roman"/>
                <w:b/>
                <w:sz w:val="18"/>
                <w:szCs w:val="18"/>
              </w:rPr>
              <w:t>roup</w:t>
            </w:r>
          </w:p>
        </w:tc>
        <w:tc>
          <w:tcPr>
            <w:tcW w:w="4596" w:type="dxa"/>
            <w:gridSpan w:val="2"/>
            <w:tcBorders>
              <w:top w:val="double" w:sz="4" w:space="0" w:color="auto"/>
              <w:right w:val="double" w:sz="4" w:space="0" w:color="FFFFFF" w:themeColor="background1"/>
            </w:tcBorders>
            <w:vAlign w:val="center"/>
          </w:tcPr>
          <w:p w:rsidR="000B609E" w:rsidRDefault="00B220E1">
            <w:pPr>
              <w:pStyle w:val="11"/>
              <w:spacing w:beforeLines="50" w:before="156"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B</w:t>
            </w:r>
            <w:r>
              <w:rPr>
                <w:rFonts w:ascii="Times New Roman" w:hAnsi="Times New Roman" w:cs="Times New Roman"/>
                <w:b/>
                <w:sz w:val="18"/>
                <w:szCs w:val="18"/>
              </w:rPr>
              <w:t>ank</w:t>
            </w:r>
          </w:p>
        </w:tc>
      </w:tr>
      <w:tr w:rsidR="000B609E">
        <w:trPr>
          <w:trHeight w:val="590"/>
          <w:tblHeader/>
        </w:trPr>
        <w:tc>
          <w:tcPr>
            <w:tcW w:w="1824" w:type="dxa"/>
            <w:vMerge/>
            <w:tcBorders>
              <w:left w:val="double" w:sz="4" w:space="0" w:color="FFFFFF" w:themeColor="background1"/>
            </w:tcBorders>
            <w:vAlign w:val="center"/>
          </w:tcPr>
          <w:p w:rsidR="000B609E" w:rsidRDefault="000B609E">
            <w:pPr>
              <w:pStyle w:val="11"/>
              <w:spacing w:beforeLines="50" w:before="156" w:afterLines="0" w:after="0"/>
              <w:ind w:firstLineChars="0" w:firstLine="0"/>
              <w:jc w:val="center"/>
              <w:rPr>
                <w:rFonts w:ascii="Times New Roman" w:hAnsi="Times New Roman" w:cs="Times New Roman"/>
                <w:sz w:val="18"/>
                <w:szCs w:val="18"/>
              </w:rPr>
            </w:pPr>
          </w:p>
        </w:tc>
        <w:tc>
          <w:tcPr>
            <w:tcW w:w="1762" w:type="dxa"/>
            <w:shd w:val="clear" w:color="auto" w:fill="auto"/>
            <w:vAlign w:val="center"/>
          </w:tcPr>
          <w:p w:rsidR="000B609E" w:rsidRDefault="00B220E1">
            <w:pPr>
              <w:spacing w:afterLines="0" w:after="0"/>
              <w:ind w:firstLineChars="0" w:firstLine="0"/>
              <w:jc w:val="center"/>
              <w:rPr>
                <w:rFonts w:ascii="Times New Roman" w:hAnsi="Times New Roman" w:cs="Times New Roman"/>
                <w:b/>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2222" w:type="dxa"/>
            <w:shd w:val="clear" w:color="auto" w:fill="auto"/>
            <w:vAlign w:val="center"/>
          </w:tcPr>
          <w:p w:rsidR="000B609E" w:rsidRDefault="00B220E1">
            <w:pPr>
              <w:spacing w:afterLines="0" w:after="0"/>
              <w:ind w:firstLine="361"/>
              <w:jc w:val="center"/>
              <w:rPr>
                <w:rFonts w:ascii="Times New Roman" w:hAnsi="Times New Roman" w:cs="Times New Roman"/>
                <w:b/>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1884" w:type="dxa"/>
            <w:shd w:val="clear" w:color="auto" w:fill="auto"/>
            <w:vAlign w:val="center"/>
          </w:tcPr>
          <w:p w:rsidR="000B609E" w:rsidRDefault="00B220E1">
            <w:pPr>
              <w:spacing w:afterLines="0" w:after="0"/>
              <w:ind w:firstLine="361"/>
              <w:jc w:val="center"/>
              <w:rPr>
                <w:rFonts w:ascii="Times New Roman" w:hAnsi="Times New Roman" w:cs="Times New Roman"/>
                <w:b/>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2712" w:type="dxa"/>
            <w:tcBorders>
              <w:right w:val="double" w:sz="4" w:space="0" w:color="FFFFFF" w:themeColor="background1"/>
            </w:tcBorders>
            <w:shd w:val="clear" w:color="auto" w:fill="auto"/>
            <w:vAlign w:val="center"/>
          </w:tcPr>
          <w:p w:rsidR="000B609E" w:rsidRDefault="00B220E1">
            <w:pPr>
              <w:spacing w:afterLines="0" w:after="0"/>
              <w:ind w:firstLine="361"/>
              <w:jc w:val="center"/>
              <w:rPr>
                <w:rFonts w:ascii="Times New Roman" w:hAnsi="Times New Roman" w:cs="Times New Roman"/>
                <w:b/>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r>
      <w:tr w:rsidR="000B609E">
        <w:trPr>
          <w:trHeight w:hRule="exact" w:val="907"/>
        </w:trPr>
        <w:tc>
          <w:tcPr>
            <w:tcW w:w="1824" w:type="dxa"/>
            <w:tcBorders>
              <w:left w:val="double" w:sz="4" w:space="0" w:color="FFFFFF" w:themeColor="background1"/>
            </w:tcBorders>
          </w:tcPr>
          <w:p w:rsidR="000B609E" w:rsidRDefault="00B220E1">
            <w:pPr>
              <w:pStyle w:val="11"/>
              <w:spacing w:beforeLines="50" w:before="156" w:afterLines="0" w:after="0"/>
              <w:ind w:firstLineChars="0" w:firstLine="0"/>
              <w:rPr>
                <w:rFonts w:ascii="Times New Roman" w:hAnsi="Times New Roman" w:cs="Times New Roman"/>
                <w:sz w:val="18"/>
                <w:szCs w:val="18"/>
              </w:rPr>
            </w:pPr>
            <w:r>
              <w:rPr>
                <w:rFonts w:ascii="Times New Roman" w:eastAsia="宋体" w:hAnsi="Times New Roman" w:cs="Times New Roman" w:hint="eastAsia"/>
                <w:color w:val="000000"/>
                <w:kern w:val="0"/>
                <w:sz w:val="18"/>
                <w:szCs w:val="18"/>
              </w:rPr>
              <w:t>D</w:t>
            </w:r>
            <w:r>
              <w:rPr>
                <w:rFonts w:ascii="Times New Roman" w:eastAsia="宋体" w:hAnsi="Times New Roman" w:cs="Times New Roman"/>
                <w:color w:val="000000"/>
                <w:kern w:val="0"/>
                <w:sz w:val="18"/>
                <w:szCs w:val="18"/>
              </w:rPr>
              <w:t>iscounted bank acceptances</w:t>
            </w:r>
          </w:p>
        </w:tc>
        <w:tc>
          <w:tcPr>
            <w:tcW w:w="1762"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4,123,098,003.10</w:t>
            </w:r>
          </w:p>
        </w:tc>
        <w:tc>
          <w:tcPr>
            <w:tcW w:w="2222"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2,753,151,968.00 </w:t>
            </w:r>
          </w:p>
        </w:tc>
        <w:tc>
          <w:tcPr>
            <w:tcW w:w="1884"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4,044,762,131.26</w:t>
            </w:r>
          </w:p>
        </w:tc>
        <w:tc>
          <w:tcPr>
            <w:tcW w:w="2712" w:type="dxa"/>
            <w:tcBorders>
              <w:right w:val="doub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2,664,771,284.74</w:t>
            </w:r>
          </w:p>
        </w:tc>
      </w:tr>
      <w:tr w:rsidR="000B609E">
        <w:trPr>
          <w:trHeight w:hRule="exact" w:val="454"/>
        </w:trPr>
        <w:tc>
          <w:tcPr>
            <w:tcW w:w="1824" w:type="dxa"/>
            <w:tcBorders>
              <w:left w:val="double" w:sz="4" w:space="0" w:color="FFFFFF" w:themeColor="background1"/>
              <w:bottom w:val="double" w:sz="4" w:space="0" w:color="auto"/>
            </w:tcBorders>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Total</w:t>
            </w:r>
          </w:p>
        </w:tc>
        <w:tc>
          <w:tcPr>
            <w:tcW w:w="1762" w:type="dxa"/>
            <w:tcBorders>
              <w:bottom w:val="doub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sz w:val="20"/>
                <w:szCs w:val="20"/>
              </w:rPr>
              <w:t>4,123,098,003.10</w:t>
            </w:r>
          </w:p>
        </w:tc>
        <w:tc>
          <w:tcPr>
            <w:tcW w:w="2222" w:type="dxa"/>
            <w:tcBorders>
              <w:bottom w:val="doub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 2,753,151,968.00 </w:t>
            </w:r>
          </w:p>
        </w:tc>
        <w:tc>
          <w:tcPr>
            <w:tcW w:w="1884" w:type="dxa"/>
            <w:tcBorders>
              <w:bottom w:val="doub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sz w:val="20"/>
                <w:szCs w:val="20"/>
              </w:rPr>
              <w:t>4,044,762,131.26</w:t>
            </w:r>
          </w:p>
        </w:tc>
        <w:tc>
          <w:tcPr>
            <w:tcW w:w="2712" w:type="dxa"/>
            <w:tcBorders>
              <w:bottom w:val="double" w:sz="4" w:space="0" w:color="auto"/>
              <w:right w:val="double" w:sz="4" w:space="0" w:color="FFFFFF" w:themeColor="background1"/>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2,664,771,284.74</w:t>
            </w:r>
          </w:p>
        </w:tc>
      </w:tr>
    </w:tbl>
    <w:p w:rsidR="000B609E" w:rsidRDefault="00B220E1">
      <w:pPr>
        <w:pStyle w:val="11"/>
        <w:numPr>
          <w:ilvl w:val="0"/>
          <w:numId w:val="20"/>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Distribution </w:t>
      </w:r>
      <w:r>
        <w:rPr>
          <w:rFonts w:ascii="Times New Roman" w:hAnsi="Times New Roman" w:cs="Times New Roman" w:hint="eastAsia"/>
          <w:sz w:val="24"/>
          <w:szCs w:val="24"/>
        </w:rPr>
        <w:t>s</w:t>
      </w:r>
      <w:r>
        <w:rPr>
          <w:rFonts w:ascii="Times New Roman" w:hAnsi="Times New Roman" w:cs="Times New Roman"/>
          <w:sz w:val="24"/>
          <w:szCs w:val="24"/>
        </w:rPr>
        <w:t xml:space="preserve">ituations of </w:t>
      </w:r>
      <w:r>
        <w:rPr>
          <w:rFonts w:ascii="Times New Roman" w:hAnsi="Times New Roman" w:cs="Times New Roman" w:hint="eastAsia"/>
          <w:sz w:val="24"/>
          <w:szCs w:val="24"/>
        </w:rPr>
        <w:t>l</w:t>
      </w:r>
      <w:r>
        <w:rPr>
          <w:rFonts w:ascii="Times New Roman" w:hAnsi="Times New Roman" w:cs="Times New Roman"/>
          <w:sz w:val="24"/>
          <w:szCs w:val="24"/>
        </w:rPr>
        <w:t xml:space="preserve">oans and </w:t>
      </w:r>
      <w:r>
        <w:rPr>
          <w:rFonts w:ascii="Times New Roman" w:hAnsi="Times New Roman" w:cs="Times New Roman" w:hint="eastAsia"/>
          <w:sz w:val="24"/>
          <w:szCs w:val="24"/>
        </w:rPr>
        <w:t>a</w:t>
      </w:r>
      <w:r>
        <w:rPr>
          <w:rFonts w:ascii="Times New Roman" w:hAnsi="Times New Roman" w:cs="Times New Roman"/>
          <w:sz w:val="24"/>
          <w:szCs w:val="24"/>
        </w:rPr>
        <w:t>dvance</w:t>
      </w:r>
      <w:r>
        <w:rPr>
          <w:rFonts w:ascii="Times New Roman" w:hAnsi="Times New Roman" w:cs="Times New Roman" w:hint="eastAsia"/>
          <w:sz w:val="24"/>
          <w:szCs w:val="24"/>
        </w:rPr>
        <w:t>s</w:t>
      </w:r>
      <w:r>
        <w:rPr>
          <w:rFonts w:ascii="Times New Roman" w:hAnsi="Times New Roman" w:cs="Times New Roman"/>
          <w:sz w:val="24"/>
          <w:szCs w:val="24"/>
        </w:rPr>
        <w:t xml:space="preserve"> by collateral type</w:t>
      </w:r>
    </w:p>
    <w:tbl>
      <w:tblPr>
        <w:tblW w:w="10364" w:type="dxa"/>
        <w:tblInd w:w="-924" w:type="dxa"/>
        <w:tblLayout w:type="fixed"/>
        <w:tblLook w:val="04A0" w:firstRow="1" w:lastRow="0" w:firstColumn="1" w:lastColumn="0" w:noHBand="0" w:noVBand="1"/>
      </w:tblPr>
      <w:tblGrid>
        <w:gridCol w:w="1616"/>
        <w:gridCol w:w="2040"/>
        <w:gridCol w:w="1992"/>
        <w:gridCol w:w="2112"/>
        <w:gridCol w:w="2604"/>
      </w:tblGrid>
      <w:tr w:rsidR="000B609E">
        <w:trPr>
          <w:trHeight w:val="299"/>
          <w:tblHeader/>
        </w:trPr>
        <w:tc>
          <w:tcPr>
            <w:tcW w:w="1616" w:type="dxa"/>
            <w:vMerge w:val="restart"/>
            <w:tcBorders>
              <w:top w:val="doub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4032"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4716"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34"/>
          <w:tblHeader/>
        </w:trPr>
        <w:tc>
          <w:tcPr>
            <w:tcW w:w="1616" w:type="dxa"/>
            <w:vMerge/>
            <w:tcBorders>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2040" w:type="dxa"/>
            <w:tcBorders>
              <w:top w:val="nil"/>
              <w:left w:val="nil"/>
              <w:bottom w:val="single" w:sz="4" w:space="0" w:color="auto"/>
              <w:right w:val="single" w:sz="4" w:space="0" w:color="auto"/>
            </w:tcBorders>
            <w:shd w:val="clear" w:color="auto" w:fill="auto"/>
            <w:vAlign w:val="bottom"/>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1992" w:type="dxa"/>
            <w:tcBorders>
              <w:top w:val="nil"/>
              <w:left w:val="nil"/>
              <w:bottom w:val="single" w:sz="4" w:space="0" w:color="auto"/>
              <w:right w:val="single" w:sz="4" w:space="0" w:color="auto"/>
            </w:tcBorders>
            <w:shd w:val="clear" w:color="auto" w:fill="auto"/>
            <w:vAlign w:val="bottom"/>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2112" w:type="dxa"/>
            <w:tcBorders>
              <w:top w:val="nil"/>
              <w:left w:val="nil"/>
              <w:bottom w:val="single" w:sz="4" w:space="0" w:color="auto"/>
              <w:right w:val="single" w:sz="4" w:space="0" w:color="auto"/>
            </w:tcBorders>
            <w:shd w:val="clear" w:color="auto" w:fill="auto"/>
            <w:vAlign w:val="bottom"/>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2604" w:type="dxa"/>
            <w:tcBorders>
              <w:top w:val="nil"/>
              <w:left w:val="nil"/>
              <w:bottom w:val="single" w:sz="4" w:space="0" w:color="auto"/>
            </w:tcBorders>
            <w:shd w:val="clear" w:color="auto" w:fill="auto"/>
            <w:vAlign w:val="bottom"/>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r>
      <w:tr w:rsidR="000B609E">
        <w:trPr>
          <w:trHeight w:hRule="exact" w:val="454"/>
        </w:trPr>
        <w:tc>
          <w:tcPr>
            <w:tcW w:w="161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lastRenderedPageBreak/>
              <w:t>Unsecured loans</w:t>
            </w:r>
          </w:p>
        </w:tc>
        <w:tc>
          <w:tcPr>
            <w:tcW w:w="204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1,658,672,964.68</w:t>
            </w:r>
          </w:p>
        </w:tc>
        <w:tc>
          <w:tcPr>
            <w:tcW w:w="199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732,606,048.28 </w:t>
            </w:r>
          </w:p>
        </w:tc>
        <w:tc>
          <w:tcPr>
            <w:tcW w:w="211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Arial Narrow"/>
                <w:color w:val="000000"/>
                <w:sz w:val="20"/>
                <w:szCs w:val="20"/>
              </w:rPr>
              <w:t>1,602,005,819.12</w:t>
            </w:r>
          </w:p>
        </w:tc>
        <w:tc>
          <w:tcPr>
            <w:tcW w:w="26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704,368,337.34 </w:t>
            </w:r>
          </w:p>
        </w:tc>
      </w:tr>
      <w:tr w:rsidR="000B609E">
        <w:trPr>
          <w:trHeight w:hRule="exact" w:val="454"/>
        </w:trPr>
        <w:tc>
          <w:tcPr>
            <w:tcW w:w="161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Guaranteed loans</w:t>
            </w:r>
          </w:p>
        </w:tc>
        <w:tc>
          <w:tcPr>
            <w:tcW w:w="204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7,010,328,492.89</w:t>
            </w:r>
          </w:p>
        </w:tc>
        <w:tc>
          <w:tcPr>
            <w:tcW w:w="199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6,285,457,026.71 </w:t>
            </w:r>
          </w:p>
        </w:tc>
        <w:tc>
          <w:tcPr>
            <w:tcW w:w="211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Arial Narrow"/>
                <w:color w:val="000000"/>
                <w:sz w:val="20"/>
                <w:szCs w:val="20"/>
              </w:rPr>
              <w:t>6,875,281,642.89</w:t>
            </w:r>
          </w:p>
        </w:tc>
        <w:tc>
          <w:tcPr>
            <w:tcW w:w="26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6,131,540,478.00 </w:t>
            </w:r>
          </w:p>
        </w:tc>
      </w:tr>
      <w:tr w:rsidR="000B609E">
        <w:trPr>
          <w:trHeight w:hRule="exact" w:val="907"/>
        </w:trPr>
        <w:tc>
          <w:tcPr>
            <w:tcW w:w="161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Collateralized loans</w:t>
            </w:r>
          </w:p>
        </w:tc>
        <w:tc>
          <w:tcPr>
            <w:tcW w:w="204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6,258,402,218.51</w:t>
            </w:r>
          </w:p>
        </w:tc>
        <w:tc>
          <w:tcPr>
            <w:tcW w:w="199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6,333,471,781.53 </w:t>
            </w:r>
          </w:p>
        </w:tc>
        <w:tc>
          <w:tcPr>
            <w:tcW w:w="211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Arial Narrow"/>
                <w:color w:val="000000"/>
                <w:sz w:val="20"/>
                <w:szCs w:val="20"/>
              </w:rPr>
              <w:t>5,930,834,022.67</w:t>
            </w:r>
          </w:p>
        </w:tc>
        <w:tc>
          <w:tcPr>
            <w:tcW w:w="26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6,169,077,884.49 </w:t>
            </w:r>
          </w:p>
        </w:tc>
      </w:tr>
      <w:tr w:rsidR="000B609E">
        <w:trPr>
          <w:trHeight w:hRule="exact" w:val="454"/>
        </w:trPr>
        <w:tc>
          <w:tcPr>
            <w:tcW w:w="161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Pledged loans</w:t>
            </w:r>
          </w:p>
        </w:tc>
        <w:tc>
          <w:tcPr>
            <w:tcW w:w="204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229,620,100.53</w:t>
            </w:r>
          </w:p>
        </w:tc>
        <w:tc>
          <w:tcPr>
            <w:tcW w:w="199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338,322,285.16 </w:t>
            </w:r>
          </w:p>
        </w:tc>
        <w:tc>
          <w:tcPr>
            <w:tcW w:w="211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Arial Narrow"/>
                <w:color w:val="000000"/>
                <w:sz w:val="20"/>
                <w:szCs w:val="20"/>
              </w:rPr>
              <w:t>220,864,100.53</w:t>
            </w:r>
          </w:p>
        </w:tc>
        <w:tc>
          <w:tcPr>
            <w:tcW w:w="26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244,492,601.90 </w:t>
            </w:r>
          </w:p>
        </w:tc>
      </w:tr>
      <w:tr w:rsidR="000B609E">
        <w:trPr>
          <w:trHeight w:hRule="exact" w:val="907"/>
        </w:trPr>
        <w:tc>
          <w:tcPr>
            <w:tcW w:w="161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 xml:space="preserve">Forfeiting and discount </w:t>
            </w:r>
          </w:p>
        </w:tc>
        <w:tc>
          <w:tcPr>
            <w:tcW w:w="204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9,010,201,564.19</w:t>
            </w:r>
          </w:p>
        </w:tc>
        <w:tc>
          <w:tcPr>
            <w:tcW w:w="199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8,636,592,057.09 </w:t>
            </w:r>
          </w:p>
        </w:tc>
        <w:tc>
          <w:tcPr>
            <w:tcW w:w="211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Arial Narrow"/>
                <w:color w:val="000000"/>
                <w:sz w:val="20"/>
                <w:szCs w:val="20"/>
              </w:rPr>
              <w:t>8,931,865,692.35</w:t>
            </w:r>
          </w:p>
        </w:tc>
        <w:tc>
          <w:tcPr>
            <w:tcW w:w="26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8,548,211,373.83 </w:t>
            </w:r>
          </w:p>
        </w:tc>
      </w:tr>
      <w:tr w:rsidR="000B609E">
        <w:trPr>
          <w:trHeight w:hRule="exact" w:val="1032"/>
        </w:trPr>
        <w:tc>
          <w:tcPr>
            <w:tcW w:w="161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 xml:space="preserve">Gross loans and advances </w:t>
            </w:r>
          </w:p>
          <w:p w:rsidR="000B609E" w:rsidRDefault="00B220E1">
            <w:pPr>
              <w:spacing w:afterLines="0" w:after="0"/>
              <w:ind w:firstLineChars="0" w:firstLine="0"/>
              <w:jc w:val="both"/>
              <w:textAlignment w:val="bottom"/>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to customers</w:t>
            </w:r>
          </w:p>
        </w:tc>
        <w:tc>
          <w:tcPr>
            <w:tcW w:w="204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24,167,225,340.80</w:t>
            </w:r>
          </w:p>
        </w:tc>
        <w:tc>
          <w:tcPr>
            <w:tcW w:w="199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22,326,449,198.77 </w:t>
            </w:r>
          </w:p>
        </w:tc>
        <w:tc>
          <w:tcPr>
            <w:tcW w:w="211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Arial Narrow"/>
                <w:b/>
                <w:bCs/>
                <w:color w:val="000000"/>
                <w:sz w:val="20"/>
                <w:szCs w:val="20"/>
              </w:rPr>
              <w:t>23,560,851,277.56</w:t>
            </w:r>
          </w:p>
        </w:tc>
        <w:tc>
          <w:tcPr>
            <w:tcW w:w="26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 xml:space="preserve">21,797,690,675.56 </w:t>
            </w:r>
          </w:p>
        </w:tc>
      </w:tr>
      <w:tr w:rsidR="000B609E">
        <w:trPr>
          <w:trHeight w:hRule="exact" w:val="907"/>
        </w:trPr>
        <w:tc>
          <w:tcPr>
            <w:tcW w:w="161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b/>
                <w:snapToGrid w:val="0"/>
                <w:color w:val="000000"/>
                <w:kern w:val="0"/>
                <w:sz w:val="18"/>
                <w:szCs w:val="18"/>
                <w:lang w:bidi="ar"/>
              </w:rPr>
            </w:pPr>
            <w:proofErr w:type="spellStart"/>
            <w:proofErr w:type="gramStart"/>
            <w:r>
              <w:rPr>
                <w:rFonts w:ascii="Times New Roman" w:eastAsia="宋体" w:hAnsi="Times New Roman" w:cs="Times New Roman" w:hint="eastAsia"/>
                <w:kern w:val="0"/>
                <w:sz w:val="18"/>
                <w:szCs w:val="18"/>
              </w:rPr>
              <w:t>Add:a</w:t>
            </w:r>
            <w:r>
              <w:rPr>
                <w:rFonts w:ascii="Times New Roman" w:eastAsia="宋体" w:hAnsi="Times New Roman" w:cs="Times New Roman"/>
                <w:kern w:val="0"/>
                <w:sz w:val="18"/>
                <w:szCs w:val="18"/>
              </w:rPr>
              <w:t>ccrued</w:t>
            </w:r>
            <w:proofErr w:type="spellEnd"/>
            <w:proofErr w:type="gramEnd"/>
            <w:r>
              <w:rPr>
                <w:rFonts w:ascii="Times New Roman" w:eastAsia="宋体" w:hAnsi="Times New Roman" w:cs="Times New Roman"/>
                <w:kern w:val="0"/>
                <w:sz w:val="18"/>
                <w:szCs w:val="18"/>
              </w:rPr>
              <w:t xml:space="preserve"> Interest</w:t>
            </w:r>
          </w:p>
        </w:tc>
        <w:tc>
          <w:tcPr>
            <w:tcW w:w="204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30,833,251.44</w:t>
            </w:r>
          </w:p>
        </w:tc>
        <w:tc>
          <w:tcPr>
            <w:tcW w:w="199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28,528,439.58 </w:t>
            </w:r>
          </w:p>
        </w:tc>
        <w:tc>
          <w:tcPr>
            <w:tcW w:w="211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Arial Narrow"/>
                <w:color w:val="000000"/>
                <w:kern w:val="0"/>
                <w:sz w:val="20"/>
                <w:szCs w:val="20"/>
              </w:rPr>
              <w:t>28,001,424.56</w:t>
            </w:r>
          </w:p>
        </w:tc>
        <w:tc>
          <w:tcPr>
            <w:tcW w:w="26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26,019,797.12 </w:t>
            </w:r>
          </w:p>
        </w:tc>
      </w:tr>
      <w:tr w:rsidR="000B609E">
        <w:trPr>
          <w:trHeight w:hRule="exact" w:val="1361"/>
        </w:trPr>
        <w:tc>
          <w:tcPr>
            <w:tcW w:w="161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color w:val="000000"/>
                <w:kern w:val="0"/>
                <w:sz w:val="18"/>
                <w:szCs w:val="18"/>
              </w:rPr>
              <w:t>Minus: impairment allowances</w:t>
            </w:r>
            <w:r>
              <w:rPr>
                <w:rFonts w:ascii="Times New Roman" w:eastAsia="宋体" w:hAnsi="Times New Roman" w:cs="Times New Roman" w:hint="eastAsia"/>
                <w:color w:val="000000"/>
                <w:kern w:val="0"/>
                <w:sz w:val="18"/>
                <w:szCs w:val="18"/>
              </w:rPr>
              <w:t xml:space="preserve"> of the </w:t>
            </w:r>
            <w:r>
              <w:rPr>
                <w:rFonts w:ascii="Times New Roman" w:eastAsia="宋体" w:hAnsi="Times New Roman" w:cs="Times New Roman"/>
                <w:color w:val="000000"/>
                <w:kern w:val="0"/>
                <w:sz w:val="18"/>
                <w:szCs w:val="18"/>
              </w:rPr>
              <w:t>loan principal</w:t>
            </w:r>
          </w:p>
        </w:tc>
        <w:tc>
          <w:tcPr>
            <w:tcW w:w="204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1,254,095,326.38</w:t>
            </w:r>
          </w:p>
        </w:tc>
        <w:tc>
          <w:tcPr>
            <w:tcW w:w="199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 xml:space="preserve"> 1,373,530,520.23 </w:t>
            </w:r>
          </w:p>
        </w:tc>
        <w:tc>
          <w:tcPr>
            <w:tcW w:w="211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Arial Narrow"/>
                <w:color w:val="000000"/>
                <w:kern w:val="0"/>
                <w:sz w:val="20"/>
                <w:szCs w:val="20"/>
              </w:rPr>
              <w:t>1,237,595,326.38</w:t>
            </w:r>
          </w:p>
        </w:tc>
        <w:tc>
          <w:tcPr>
            <w:tcW w:w="26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 xml:space="preserve"> 1,359,030,520.23 </w:t>
            </w:r>
          </w:p>
        </w:tc>
      </w:tr>
      <w:tr w:rsidR="000B609E">
        <w:trPr>
          <w:trHeight w:hRule="exact" w:val="1361"/>
        </w:trPr>
        <w:tc>
          <w:tcPr>
            <w:tcW w:w="161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color w:val="000000"/>
                <w:kern w:val="0"/>
                <w:sz w:val="18"/>
                <w:szCs w:val="18"/>
              </w:rPr>
              <w:t>Minus: impairment allowances</w:t>
            </w:r>
            <w:r>
              <w:rPr>
                <w:rFonts w:ascii="Times New Roman" w:eastAsia="宋体" w:hAnsi="Times New Roman" w:cs="Times New Roman" w:hint="eastAsia"/>
                <w:color w:val="000000"/>
                <w:kern w:val="0"/>
                <w:sz w:val="18"/>
                <w:szCs w:val="18"/>
              </w:rPr>
              <w:t xml:space="preserve"> of the </w:t>
            </w:r>
            <w:r>
              <w:rPr>
                <w:rFonts w:ascii="Times New Roman" w:eastAsia="宋体" w:hAnsi="Times New Roman" w:cs="Times New Roman" w:hint="eastAsia"/>
                <w:kern w:val="0"/>
                <w:sz w:val="18"/>
                <w:szCs w:val="18"/>
              </w:rPr>
              <w:t>a</w:t>
            </w:r>
            <w:r>
              <w:rPr>
                <w:rFonts w:ascii="Times New Roman" w:eastAsia="宋体" w:hAnsi="Times New Roman" w:cs="Times New Roman"/>
                <w:kern w:val="0"/>
                <w:sz w:val="18"/>
                <w:szCs w:val="18"/>
              </w:rPr>
              <w:t>ccrued Interest</w:t>
            </w:r>
          </w:p>
        </w:tc>
        <w:tc>
          <w:tcPr>
            <w:tcW w:w="2040"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992"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112"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604"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r>
      <w:tr w:rsidR="000B609E">
        <w:trPr>
          <w:trHeight w:hRule="exact" w:val="1814"/>
        </w:trPr>
        <w:tc>
          <w:tcPr>
            <w:tcW w:w="1616"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b/>
                <w:snapToGrid w:val="0"/>
                <w:color w:val="000000"/>
                <w:kern w:val="0"/>
                <w:sz w:val="18"/>
                <w:szCs w:val="18"/>
                <w:lang w:bidi="ar"/>
              </w:rPr>
            </w:pPr>
            <w:r>
              <w:rPr>
                <w:rFonts w:ascii="Times New Roman" w:eastAsia="宋体" w:hAnsi="Times New Roman" w:cs="Times New Roman"/>
                <w:b/>
                <w:snapToGrid w:val="0"/>
                <w:color w:val="000000"/>
                <w:kern w:val="0"/>
                <w:sz w:val="18"/>
                <w:szCs w:val="18"/>
                <w:lang w:bidi="ar"/>
              </w:rPr>
              <w:t>Loans and advances to customers net value</w:t>
            </w:r>
          </w:p>
        </w:tc>
        <w:tc>
          <w:tcPr>
            <w:tcW w:w="204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Arial Narrow"/>
                <w:b/>
                <w:bCs/>
                <w:color w:val="000000"/>
                <w:kern w:val="0"/>
                <w:sz w:val="20"/>
                <w:szCs w:val="21"/>
              </w:rPr>
              <w:t>22,943,963,265.86</w:t>
            </w:r>
          </w:p>
        </w:tc>
        <w:tc>
          <w:tcPr>
            <w:tcW w:w="199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rPr>
              <w:t xml:space="preserve">20,981,447,118.12 </w:t>
            </w:r>
          </w:p>
        </w:tc>
        <w:tc>
          <w:tcPr>
            <w:tcW w:w="211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22,351,257,375.74</w:t>
            </w:r>
          </w:p>
        </w:tc>
        <w:tc>
          <w:tcPr>
            <w:tcW w:w="2604"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rPr>
              <w:t xml:space="preserve">20,464,679,952.45 </w:t>
            </w:r>
          </w:p>
        </w:tc>
      </w:tr>
    </w:tbl>
    <w:p w:rsidR="000B609E" w:rsidRDefault="00B220E1">
      <w:pPr>
        <w:pStyle w:val="11"/>
        <w:numPr>
          <w:ilvl w:val="0"/>
          <w:numId w:val="20"/>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methods of guarantee for overdue loans and distributions of overdue terms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group</w:t>
      </w:r>
      <w:r>
        <w:rPr>
          <w:rFonts w:ascii="Times New Roman" w:hAnsi="Times New Roman" w:cs="Times New Roman" w:hint="eastAsia"/>
          <w:sz w:val="24"/>
          <w:szCs w:val="24"/>
        </w:rPr>
        <w:t>：</w:t>
      </w:r>
    </w:p>
    <w:tbl>
      <w:tblPr>
        <w:tblW w:w="10368" w:type="dxa"/>
        <w:tblInd w:w="-913" w:type="dxa"/>
        <w:tblLayout w:type="fixed"/>
        <w:tblLook w:val="04A0" w:firstRow="1" w:lastRow="0" w:firstColumn="1" w:lastColumn="0" w:noHBand="0" w:noVBand="1"/>
      </w:tblPr>
      <w:tblGrid>
        <w:gridCol w:w="1319"/>
        <w:gridCol w:w="1957"/>
        <w:gridCol w:w="1804"/>
        <w:gridCol w:w="1657"/>
        <w:gridCol w:w="1802"/>
        <w:gridCol w:w="1829"/>
      </w:tblGrid>
      <w:tr w:rsidR="000B609E">
        <w:trPr>
          <w:trHeight w:val="342"/>
          <w:tblHeader/>
        </w:trPr>
        <w:tc>
          <w:tcPr>
            <w:tcW w:w="1319"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9049" w:type="dxa"/>
            <w:gridSpan w:val="5"/>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val="616"/>
          <w:tblHeader/>
        </w:trPr>
        <w:tc>
          <w:tcPr>
            <w:tcW w:w="1319"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95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up to 90 days (inclusive)</w:t>
            </w:r>
          </w:p>
        </w:tc>
        <w:tc>
          <w:tcPr>
            <w:tcW w:w="180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90 days to 1 year (inclusive)</w:t>
            </w:r>
          </w:p>
        </w:tc>
        <w:tc>
          <w:tcPr>
            <w:tcW w:w="165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1 year to 3 years (inclusive)</w:t>
            </w:r>
          </w:p>
        </w:tc>
        <w:tc>
          <w:tcPr>
            <w:tcW w:w="180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over 3 years</w:t>
            </w:r>
          </w:p>
        </w:tc>
        <w:tc>
          <w:tcPr>
            <w:tcW w:w="1829"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Total</w:t>
            </w:r>
          </w:p>
        </w:tc>
      </w:tr>
      <w:tr w:rsidR="000B609E">
        <w:trPr>
          <w:trHeight w:hRule="exact" w:val="907"/>
        </w:trPr>
        <w:tc>
          <w:tcPr>
            <w:tcW w:w="131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lastRenderedPageBreak/>
              <w:t>Unsecured loans</w:t>
            </w:r>
          </w:p>
        </w:tc>
        <w:tc>
          <w:tcPr>
            <w:tcW w:w="195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12,700,251.74</w:t>
            </w:r>
          </w:p>
        </w:tc>
        <w:tc>
          <w:tcPr>
            <w:tcW w:w="180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1,727,271.24</w:t>
            </w:r>
          </w:p>
        </w:tc>
        <w:tc>
          <w:tcPr>
            <w:tcW w:w="165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5,311,589.11</w:t>
            </w:r>
          </w:p>
        </w:tc>
        <w:tc>
          <w:tcPr>
            <w:tcW w:w="180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82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19,739,112.09</w:t>
            </w:r>
          </w:p>
        </w:tc>
      </w:tr>
      <w:tr w:rsidR="000B609E">
        <w:trPr>
          <w:trHeight w:hRule="exact" w:val="907"/>
        </w:trPr>
        <w:tc>
          <w:tcPr>
            <w:tcW w:w="131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Guaranteed loans</w:t>
            </w:r>
          </w:p>
        </w:tc>
        <w:tc>
          <w:tcPr>
            <w:tcW w:w="195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219,355,261.79</w:t>
            </w:r>
          </w:p>
        </w:tc>
        <w:tc>
          <w:tcPr>
            <w:tcW w:w="180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38,422,749.97</w:t>
            </w:r>
          </w:p>
        </w:tc>
        <w:tc>
          <w:tcPr>
            <w:tcW w:w="165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47,010,278.19</w:t>
            </w:r>
          </w:p>
        </w:tc>
        <w:tc>
          <w:tcPr>
            <w:tcW w:w="180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82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304,788,289.95</w:t>
            </w:r>
          </w:p>
        </w:tc>
      </w:tr>
      <w:tr w:rsidR="000B609E">
        <w:trPr>
          <w:trHeight w:hRule="exact" w:val="907"/>
        </w:trPr>
        <w:tc>
          <w:tcPr>
            <w:tcW w:w="131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Collateralized loans</w:t>
            </w:r>
          </w:p>
        </w:tc>
        <w:tc>
          <w:tcPr>
            <w:tcW w:w="195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78,459,314.81</w:t>
            </w:r>
          </w:p>
        </w:tc>
        <w:tc>
          <w:tcPr>
            <w:tcW w:w="180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13,943,414.35</w:t>
            </w:r>
          </w:p>
        </w:tc>
        <w:tc>
          <w:tcPr>
            <w:tcW w:w="165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25,429,302.66</w:t>
            </w:r>
          </w:p>
        </w:tc>
        <w:tc>
          <w:tcPr>
            <w:tcW w:w="180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212,539.03</w:t>
            </w:r>
          </w:p>
        </w:tc>
        <w:tc>
          <w:tcPr>
            <w:tcW w:w="182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118,044,570.85</w:t>
            </w:r>
          </w:p>
        </w:tc>
      </w:tr>
      <w:tr w:rsidR="000B609E">
        <w:trPr>
          <w:trHeight w:hRule="exact" w:val="454"/>
        </w:trPr>
        <w:tc>
          <w:tcPr>
            <w:tcW w:w="131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Pledged loans</w:t>
            </w:r>
          </w:p>
        </w:tc>
        <w:tc>
          <w:tcPr>
            <w:tcW w:w="195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80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65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80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82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r>
      <w:tr w:rsidR="000B609E">
        <w:trPr>
          <w:trHeight w:hRule="exact" w:val="454"/>
        </w:trPr>
        <w:tc>
          <w:tcPr>
            <w:tcW w:w="1319"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957"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Calibri"/>
                <w:b/>
                <w:color w:val="000000"/>
                <w:sz w:val="20"/>
                <w:szCs w:val="20"/>
              </w:rPr>
              <w:t>310,514,828.34</w:t>
            </w:r>
          </w:p>
        </w:tc>
        <w:tc>
          <w:tcPr>
            <w:tcW w:w="180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Calibri"/>
                <w:b/>
                <w:color w:val="000000"/>
                <w:sz w:val="20"/>
                <w:szCs w:val="20"/>
              </w:rPr>
              <w:t>54,093,435.56</w:t>
            </w:r>
          </w:p>
        </w:tc>
        <w:tc>
          <w:tcPr>
            <w:tcW w:w="1657"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Calibri"/>
                <w:b/>
                <w:color w:val="000000"/>
                <w:sz w:val="20"/>
                <w:szCs w:val="20"/>
              </w:rPr>
              <w:t>77,751,169.96</w:t>
            </w:r>
          </w:p>
        </w:tc>
        <w:tc>
          <w:tcPr>
            <w:tcW w:w="180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Calibri"/>
                <w:b/>
                <w:color w:val="000000"/>
                <w:sz w:val="20"/>
                <w:szCs w:val="20"/>
              </w:rPr>
              <w:t>212,539.03</w:t>
            </w:r>
          </w:p>
        </w:tc>
        <w:tc>
          <w:tcPr>
            <w:tcW w:w="1829"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Calibri"/>
                <w:b/>
                <w:color w:val="000000"/>
                <w:sz w:val="20"/>
                <w:szCs w:val="20"/>
              </w:rPr>
              <w:t>442,571,972.89</w:t>
            </w:r>
          </w:p>
        </w:tc>
      </w:tr>
    </w:tbl>
    <w:p w:rsidR="000B609E" w:rsidRDefault="000B609E">
      <w:pPr>
        <w:spacing w:after="156" w:line="360" w:lineRule="auto"/>
        <w:ind w:left="720" w:firstLine="480"/>
        <w:rPr>
          <w:rFonts w:ascii="Times New Roman" w:hAnsi="Times New Roman" w:cs="Times New Roman"/>
          <w:sz w:val="24"/>
          <w:szCs w:val="24"/>
        </w:rPr>
      </w:pPr>
    </w:p>
    <w:tbl>
      <w:tblPr>
        <w:tblW w:w="10356" w:type="dxa"/>
        <w:tblInd w:w="-907" w:type="dxa"/>
        <w:tblLayout w:type="fixed"/>
        <w:tblLook w:val="04A0" w:firstRow="1" w:lastRow="0" w:firstColumn="1" w:lastColumn="0" w:noHBand="0" w:noVBand="1"/>
      </w:tblPr>
      <w:tblGrid>
        <w:gridCol w:w="1477"/>
        <w:gridCol w:w="1696"/>
        <w:gridCol w:w="1702"/>
        <w:gridCol w:w="1708"/>
        <w:gridCol w:w="1600"/>
        <w:gridCol w:w="2173"/>
      </w:tblGrid>
      <w:tr w:rsidR="000B609E">
        <w:trPr>
          <w:trHeight w:val="327"/>
          <w:tblHeader/>
        </w:trPr>
        <w:tc>
          <w:tcPr>
            <w:tcW w:w="1477"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8879" w:type="dxa"/>
            <w:gridSpan w:val="5"/>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r>
      <w:tr w:rsidR="000B609E">
        <w:trPr>
          <w:trHeight w:val="590"/>
          <w:tblHeader/>
        </w:trPr>
        <w:tc>
          <w:tcPr>
            <w:tcW w:w="1477"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6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up to 90 days (inclusive)</w:t>
            </w:r>
          </w:p>
        </w:tc>
        <w:tc>
          <w:tcPr>
            <w:tcW w:w="170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90 days to 1 year (inclusive)</w:t>
            </w:r>
          </w:p>
        </w:tc>
        <w:tc>
          <w:tcPr>
            <w:tcW w:w="170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1 year to 3 years (inclusive)</w:t>
            </w:r>
          </w:p>
        </w:tc>
        <w:tc>
          <w:tcPr>
            <w:tcW w:w="160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over 3 years</w:t>
            </w:r>
          </w:p>
        </w:tc>
        <w:tc>
          <w:tcPr>
            <w:tcW w:w="2173"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Total</w:t>
            </w:r>
          </w:p>
        </w:tc>
      </w:tr>
      <w:tr w:rsidR="000B609E">
        <w:trPr>
          <w:trHeight w:hRule="exact" w:val="454"/>
        </w:trPr>
        <w:tc>
          <w:tcPr>
            <w:tcW w:w="147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Unsecured loans</w:t>
            </w:r>
          </w:p>
        </w:tc>
        <w:tc>
          <w:tcPr>
            <w:tcW w:w="16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 xml:space="preserve"> 1,744,448.98 </w:t>
            </w:r>
          </w:p>
        </w:tc>
        <w:tc>
          <w:tcPr>
            <w:tcW w:w="170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 xml:space="preserve"> 590,152.76 </w:t>
            </w:r>
          </w:p>
        </w:tc>
        <w:tc>
          <w:tcPr>
            <w:tcW w:w="170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 xml:space="preserve"> 1,633,091.17 </w:t>
            </w:r>
          </w:p>
        </w:tc>
        <w:tc>
          <w:tcPr>
            <w:tcW w:w="1600"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r w:rsidR="00B220E1">
              <w:rPr>
                <w:rFonts w:ascii="Arial Narrow" w:eastAsia="宋体" w:hAnsi="Arial Narrow" w:cs="Arial Narrow"/>
                <w:snapToGrid w:val="0"/>
                <w:kern w:val="0"/>
                <w:sz w:val="20"/>
                <w:szCs w:val="20"/>
                <w:lang w:val="en-GB"/>
              </w:rPr>
              <w:t xml:space="preserve">  </w:t>
            </w:r>
          </w:p>
        </w:tc>
        <w:tc>
          <w:tcPr>
            <w:tcW w:w="2173"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3,967,692.91</w:t>
            </w:r>
          </w:p>
        </w:tc>
      </w:tr>
      <w:tr w:rsidR="000B609E">
        <w:trPr>
          <w:trHeight w:hRule="exact" w:val="454"/>
        </w:trPr>
        <w:tc>
          <w:tcPr>
            <w:tcW w:w="147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Guaranteed loans</w:t>
            </w:r>
          </w:p>
        </w:tc>
        <w:tc>
          <w:tcPr>
            <w:tcW w:w="16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 xml:space="preserve"> 212,188,479.87 </w:t>
            </w:r>
          </w:p>
        </w:tc>
        <w:tc>
          <w:tcPr>
            <w:tcW w:w="170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 xml:space="preserve"> 114,087,234.67 </w:t>
            </w:r>
          </w:p>
        </w:tc>
        <w:tc>
          <w:tcPr>
            <w:tcW w:w="170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 xml:space="preserve"> 42,853,308.94 </w:t>
            </w:r>
          </w:p>
        </w:tc>
        <w:tc>
          <w:tcPr>
            <w:tcW w:w="160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 xml:space="preserve"> 2,536,780.00 </w:t>
            </w:r>
          </w:p>
        </w:tc>
        <w:tc>
          <w:tcPr>
            <w:tcW w:w="2173"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371,665,803.48</w:t>
            </w:r>
          </w:p>
        </w:tc>
      </w:tr>
      <w:tr w:rsidR="000B609E">
        <w:trPr>
          <w:trHeight w:hRule="exact" w:val="907"/>
        </w:trPr>
        <w:tc>
          <w:tcPr>
            <w:tcW w:w="147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Collateralized loans</w:t>
            </w:r>
          </w:p>
        </w:tc>
        <w:tc>
          <w:tcPr>
            <w:tcW w:w="16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 xml:space="preserve"> 118,062,077.62 </w:t>
            </w:r>
          </w:p>
        </w:tc>
        <w:tc>
          <w:tcPr>
            <w:tcW w:w="170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 xml:space="preserve"> 187,161,109.86 </w:t>
            </w:r>
          </w:p>
        </w:tc>
        <w:tc>
          <w:tcPr>
            <w:tcW w:w="170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 xml:space="preserve"> 39,759,728.80 </w:t>
            </w:r>
          </w:p>
        </w:tc>
        <w:tc>
          <w:tcPr>
            <w:tcW w:w="160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 xml:space="preserve"> 14,289,346.31 </w:t>
            </w:r>
          </w:p>
        </w:tc>
        <w:tc>
          <w:tcPr>
            <w:tcW w:w="2173"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359,272,262.59</w:t>
            </w:r>
          </w:p>
        </w:tc>
      </w:tr>
      <w:tr w:rsidR="000B609E">
        <w:trPr>
          <w:trHeight w:hRule="exact" w:val="454"/>
        </w:trPr>
        <w:tc>
          <w:tcPr>
            <w:tcW w:w="147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hint="eastAsia"/>
                <w:snapToGrid w:val="0"/>
                <w:color w:val="000000"/>
                <w:kern w:val="0"/>
                <w:sz w:val="18"/>
                <w:szCs w:val="18"/>
                <w:lang w:bidi="ar"/>
              </w:rPr>
              <w:t>P</w:t>
            </w:r>
            <w:r>
              <w:rPr>
                <w:rFonts w:ascii="Times New Roman" w:eastAsia="宋体" w:hAnsi="Times New Roman" w:cs="Times New Roman"/>
                <w:snapToGrid w:val="0"/>
                <w:color w:val="000000"/>
                <w:kern w:val="0"/>
                <w:sz w:val="18"/>
                <w:szCs w:val="18"/>
                <w:lang w:bidi="ar"/>
              </w:rPr>
              <w:t>ledged loans</w:t>
            </w:r>
          </w:p>
        </w:tc>
        <w:tc>
          <w:tcPr>
            <w:tcW w:w="1696"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r w:rsidR="00B220E1">
              <w:rPr>
                <w:rFonts w:ascii="Arial Narrow" w:eastAsia="宋体" w:hAnsi="Arial Narrow" w:cs="Arial Narrow"/>
                <w:snapToGrid w:val="0"/>
                <w:kern w:val="0"/>
                <w:sz w:val="20"/>
                <w:szCs w:val="20"/>
                <w:lang w:val="en-GB"/>
              </w:rPr>
              <w:t xml:space="preserve">  </w:t>
            </w:r>
          </w:p>
        </w:tc>
        <w:tc>
          <w:tcPr>
            <w:tcW w:w="170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 xml:space="preserve"> 198,923.77 </w:t>
            </w:r>
          </w:p>
        </w:tc>
        <w:tc>
          <w:tcPr>
            <w:tcW w:w="1708"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1600"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2173"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snapToGrid w:val="0"/>
                <w:kern w:val="0"/>
                <w:sz w:val="20"/>
                <w:szCs w:val="20"/>
                <w:lang w:val="en-GB"/>
              </w:rPr>
              <w:t>198,923.77</w:t>
            </w:r>
          </w:p>
        </w:tc>
      </w:tr>
      <w:tr w:rsidR="000B609E">
        <w:trPr>
          <w:trHeight w:hRule="exact" w:val="454"/>
        </w:trPr>
        <w:tc>
          <w:tcPr>
            <w:tcW w:w="1477"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696"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331,995,006.47</w:t>
            </w:r>
          </w:p>
        </w:tc>
        <w:tc>
          <w:tcPr>
            <w:tcW w:w="170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302,037,421.06</w:t>
            </w:r>
          </w:p>
        </w:tc>
        <w:tc>
          <w:tcPr>
            <w:tcW w:w="1708"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84,246,128.91</w:t>
            </w:r>
          </w:p>
        </w:tc>
        <w:tc>
          <w:tcPr>
            <w:tcW w:w="160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16,826,126.31</w:t>
            </w:r>
          </w:p>
        </w:tc>
        <w:tc>
          <w:tcPr>
            <w:tcW w:w="2173"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735,104,682.75</w:t>
            </w:r>
          </w:p>
        </w:tc>
      </w:tr>
    </w:tbl>
    <w:p w:rsidR="000B609E" w:rsidRDefault="00B220E1">
      <w:pPr>
        <w:spacing w:beforeLines="50" w:before="156"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The </w:t>
      </w:r>
      <w:r>
        <w:rPr>
          <w:rFonts w:ascii="Times New Roman" w:eastAsia="宋体" w:hAnsi="Times New Roman" w:cs="Times New Roman"/>
          <w:kern w:val="0"/>
          <w:sz w:val="20"/>
          <w:szCs w:val="20"/>
        </w:rPr>
        <w:t>Bank</w:t>
      </w:r>
      <w:r>
        <w:rPr>
          <w:rFonts w:ascii="Times New Roman" w:hAnsi="Times New Roman" w:cs="Times New Roman" w:hint="eastAsia"/>
          <w:sz w:val="24"/>
          <w:szCs w:val="24"/>
        </w:rPr>
        <w:t>：</w:t>
      </w:r>
    </w:p>
    <w:tbl>
      <w:tblPr>
        <w:tblW w:w="10262" w:type="dxa"/>
        <w:jc w:val="center"/>
        <w:tblLayout w:type="fixed"/>
        <w:tblLook w:val="04A0" w:firstRow="1" w:lastRow="0" w:firstColumn="1" w:lastColumn="0" w:noHBand="0" w:noVBand="1"/>
      </w:tblPr>
      <w:tblGrid>
        <w:gridCol w:w="1946"/>
        <w:gridCol w:w="1632"/>
        <w:gridCol w:w="1780"/>
        <w:gridCol w:w="1632"/>
        <w:gridCol w:w="1630"/>
        <w:gridCol w:w="1642"/>
      </w:tblGrid>
      <w:tr w:rsidR="000B609E">
        <w:trPr>
          <w:trHeight w:val="308"/>
          <w:tblHeader/>
          <w:jc w:val="center"/>
        </w:trPr>
        <w:tc>
          <w:tcPr>
            <w:tcW w:w="1946"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8316" w:type="dxa"/>
            <w:gridSpan w:val="5"/>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val="1030"/>
          <w:tblHeader/>
          <w:jc w:val="center"/>
        </w:trPr>
        <w:tc>
          <w:tcPr>
            <w:tcW w:w="1946"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632"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up to 90 days (inclusive)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90 days to 1 year (inclusive)</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1 year to 3 years (inclusive)</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over 3 years</w:t>
            </w:r>
          </w:p>
        </w:tc>
        <w:tc>
          <w:tcPr>
            <w:tcW w:w="1642" w:type="dxa"/>
            <w:tcBorders>
              <w:top w:val="single" w:sz="4" w:space="0" w:color="auto"/>
              <w:left w:val="single" w:sz="4" w:space="0" w:color="auto"/>
              <w:bottom w:val="single" w:sz="4" w:space="0" w:color="auto"/>
              <w:right w:val="nil"/>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Total</w:t>
            </w:r>
          </w:p>
        </w:tc>
      </w:tr>
      <w:tr w:rsidR="000B609E">
        <w:trPr>
          <w:trHeight w:hRule="exact" w:val="454"/>
          <w:jc w:val="center"/>
        </w:trPr>
        <w:tc>
          <w:tcPr>
            <w:tcW w:w="194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Unsecured loans</w:t>
            </w:r>
          </w:p>
        </w:tc>
        <w:tc>
          <w:tcPr>
            <w:tcW w:w="1632"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12,500,251.74</w:t>
            </w:r>
          </w:p>
        </w:tc>
        <w:tc>
          <w:tcPr>
            <w:tcW w:w="178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1,527,271.24</w:t>
            </w:r>
          </w:p>
        </w:tc>
        <w:tc>
          <w:tcPr>
            <w:tcW w:w="1632"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1,361,589.11</w:t>
            </w:r>
          </w:p>
        </w:tc>
        <w:tc>
          <w:tcPr>
            <w:tcW w:w="163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642" w:type="dxa"/>
            <w:tcBorders>
              <w:top w:val="single" w:sz="4" w:space="0" w:color="auto"/>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15,389,112.09</w:t>
            </w:r>
          </w:p>
        </w:tc>
      </w:tr>
      <w:tr w:rsidR="000B609E">
        <w:trPr>
          <w:trHeight w:hRule="exact" w:val="454"/>
          <w:jc w:val="center"/>
        </w:trPr>
        <w:tc>
          <w:tcPr>
            <w:tcW w:w="194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Guaranteed loans</w:t>
            </w:r>
          </w:p>
        </w:tc>
        <w:tc>
          <w:tcPr>
            <w:tcW w:w="163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219,355,261.79</w:t>
            </w:r>
          </w:p>
        </w:tc>
        <w:tc>
          <w:tcPr>
            <w:tcW w:w="17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38,422,749.97</w:t>
            </w:r>
          </w:p>
        </w:tc>
        <w:tc>
          <w:tcPr>
            <w:tcW w:w="163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47,010,278.19</w:t>
            </w:r>
          </w:p>
        </w:tc>
        <w:tc>
          <w:tcPr>
            <w:tcW w:w="16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642"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304,788,289.95</w:t>
            </w:r>
          </w:p>
        </w:tc>
      </w:tr>
      <w:tr w:rsidR="000B609E">
        <w:trPr>
          <w:trHeight w:hRule="exact" w:val="454"/>
          <w:jc w:val="center"/>
        </w:trPr>
        <w:tc>
          <w:tcPr>
            <w:tcW w:w="194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Collateralized loans</w:t>
            </w:r>
          </w:p>
        </w:tc>
        <w:tc>
          <w:tcPr>
            <w:tcW w:w="163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78,459,314.81</w:t>
            </w:r>
          </w:p>
        </w:tc>
        <w:tc>
          <w:tcPr>
            <w:tcW w:w="17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13,943,414.35</w:t>
            </w:r>
          </w:p>
        </w:tc>
        <w:tc>
          <w:tcPr>
            <w:tcW w:w="163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25,429,302.66</w:t>
            </w:r>
          </w:p>
        </w:tc>
        <w:tc>
          <w:tcPr>
            <w:tcW w:w="16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212,539.03</w:t>
            </w:r>
          </w:p>
        </w:tc>
        <w:tc>
          <w:tcPr>
            <w:tcW w:w="1642"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118,044,570.85</w:t>
            </w:r>
          </w:p>
        </w:tc>
      </w:tr>
      <w:tr w:rsidR="000B609E">
        <w:trPr>
          <w:trHeight w:hRule="exact" w:val="454"/>
          <w:jc w:val="center"/>
        </w:trPr>
        <w:tc>
          <w:tcPr>
            <w:tcW w:w="194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Pledged loans</w:t>
            </w:r>
          </w:p>
        </w:tc>
        <w:tc>
          <w:tcPr>
            <w:tcW w:w="163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63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6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c>
          <w:tcPr>
            <w:tcW w:w="1642"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 xml:space="preserve">-   </w:t>
            </w:r>
          </w:p>
        </w:tc>
      </w:tr>
      <w:tr w:rsidR="000B609E">
        <w:trPr>
          <w:trHeight w:hRule="exact" w:val="454"/>
          <w:jc w:val="center"/>
        </w:trPr>
        <w:tc>
          <w:tcPr>
            <w:tcW w:w="1946"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lastRenderedPageBreak/>
              <w:t>Total</w:t>
            </w:r>
          </w:p>
        </w:tc>
        <w:tc>
          <w:tcPr>
            <w:tcW w:w="163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Calibri"/>
                <w:b/>
                <w:color w:val="000000"/>
                <w:sz w:val="20"/>
                <w:szCs w:val="20"/>
              </w:rPr>
              <w:t>310,314,828.34</w:t>
            </w:r>
          </w:p>
        </w:tc>
        <w:tc>
          <w:tcPr>
            <w:tcW w:w="178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Calibri"/>
                <w:b/>
                <w:color w:val="000000"/>
                <w:sz w:val="20"/>
                <w:szCs w:val="20"/>
              </w:rPr>
              <w:t>53,893,435.56</w:t>
            </w:r>
          </w:p>
        </w:tc>
        <w:tc>
          <w:tcPr>
            <w:tcW w:w="163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Calibri"/>
                <w:b/>
                <w:color w:val="000000"/>
                <w:sz w:val="20"/>
                <w:szCs w:val="20"/>
              </w:rPr>
              <w:t>73,801,169.96</w:t>
            </w:r>
          </w:p>
        </w:tc>
        <w:tc>
          <w:tcPr>
            <w:tcW w:w="163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Calibri"/>
                <w:b/>
                <w:color w:val="000000"/>
                <w:sz w:val="20"/>
                <w:szCs w:val="20"/>
              </w:rPr>
              <w:t>212,539.03</w:t>
            </w:r>
          </w:p>
        </w:tc>
        <w:tc>
          <w:tcPr>
            <w:tcW w:w="1642"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Calibri"/>
                <w:b/>
                <w:color w:val="000000"/>
                <w:sz w:val="20"/>
                <w:szCs w:val="20"/>
              </w:rPr>
              <w:t>438,221,972.89</w:t>
            </w:r>
          </w:p>
        </w:tc>
      </w:tr>
    </w:tbl>
    <w:p w:rsidR="000B609E" w:rsidRDefault="000B609E">
      <w:pPr>
        <w:spacing w:after="156" w:line="360" w:lineRule="auto"/>
        <w:ind w:firstLineChars="0" w:firstLine="0"/>
        <w:rPr>
          <w:rFonts w:ascii="Times New Roman" w:hAnsi="Times New Roman" w:cs="Times New Roman"/>
          <w:sz w:val="24"/>
          <w:szCs w:val="24"/>
        </w:rPr>
      </w:pPr>
    </w:p>
    <w:tbl>
      <w:tblPr>
        <w:tblW w:w="10231" w:type="dxa"/>
        <w:tblInd w:w="-867" w:type="dxa"/>
        <w:tblLayout w:type="fixed"/>
        <w:tblLook w:val="04A0" w:firstRow="1" w:lastRow="0" w:firstColumn="1" w:lastColumn="0" w:noHBand="0" w:noVBand="1"/>
      </w:tblPr>
      <w:tblGrid>
        <w:gridCol w:w="1803"/>
        <w:gridCol w:w="1654"/>
        <w:gridCol w:w="1659"/>
        <w:gridCol w:w="1642"/>
        <w:gridCol w:w="1549"/>
        <w:gridCol w:w="1924"/>
      </w:tblGrid>
      <w:tr w:rsidR="000B609E">
        <w:trPr>
          <w:trHeight w:val="307"/>
          <w:tblHeader/>
        </w:trPr>
        <w:tc>
          <w:tcPr>
            <w:tcW w:w="1803"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8428" w:type="dxa"/>
            <w:gridSpan w:val="5"/>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r>
      <w:tr w:rsidR="000B609E">
        <w:trPr>
          <w:trHeight w:val="554"/>
          <w:tblHeader/>
        </w:trPr>
        <w:tc>
          <w:tcPr>
            <w:tcW w:w="1803"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6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up to 90 days (inclusive)</w:t>
            </w:r>
          </w:p>
        </w:tc>
        <w:tc>
          <w:tcPr>
            <w:tcW w:w="165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90 days to 1 year (inclusive)</w:t>
            </w:r>
          </w:p>
        </w:tc>
        <w:tc>
          <w:tcPr>
            <w:tcW w:w="16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1 year to 3 years (inclusive)</w:t>
            </w:r>
          </w:p>
        </w:tc>
        <w:tc>
          <w:tcPr>
            <w:tcW w:w="154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Past due over 3 years</w:t>
            </w:r>
          </w:p>
        </w:tc>
        <w:tc>
          <w:tcPr>
            <w:tcW w:w="1924"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Total</w:t>
            </w:r>
          </w:p>
        </w:tc>
      </w:tr>
      <w:tr w:rsidR="000B609E">
        <w:trPr>
          <w:trHeight w:hRule="exact" w:val="454"/>
        </w:trPr>
        <w:tc>
          <w:tcPr>
            <w:tcW w:w="180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Unsecured loans</w:t>
            </w:r>
          </w:p>
        </w:tc>
        <w:tc>
          <w:tcPr>
            <w:tcW w:w="16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1,744,448.98</w:t>
            </w:r>
          </w:p>
        </w:tc>
        <w:tc>
          <w:tcPr>
            <w:tcW w:w="165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590,152.76</w:t>
            </w:r>
          </w:p>
        </w:tc>
        <w:tc>
          <w:tcPr>
            <w:tcW w:w="16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625,942.46</w:t>
            </w:r>
          </w:p>
        </w:tc>
        <w:tc>
          <w:tcPr>
            <w:tcW w:w="1549"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r w:rsidR="00B220E1">
              <w:rPr>
                <w:rFonts w:ascii="Arial Narrow" w:eastAsia="宋体" w:hAnsi="Arial Narrow" w:cs="Arial Narrow"/>
                <w:snapToGrid w:val="0"/>
                <w:kern w:val="0"/>
                <w:sz w:val="20"/>
                <w:szCs w:val="20"/>
                <w:lang w:val="en-GB"/>
              </w:rPr>
              <w:t xml:space="preserve">  </w:t>
            </w:r>
          </w:p>
        </w:tc>
        <w:tc>
          <w:tcPr>
            <w:tcW w:w="1924" w:type="dxa"/>
            <w:tcBorders>
              <w:top w:val="nil"/>
              <w:left w:val="nil"/>
              <w:bottom w:val="single" w:sz="4" w:space="0" w:color="auto"/>
            </w:tcBorders>
            <w:shd w:val="clear" w:color="auto" w:fill="auto"/>
            <w:vAlign w:val="bottom"/>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2,960,544.20</w:t>
            </w:r>
          </w:p>
        </w:tc>
      </w:tr>
      <w:tr w:rsidR="000B609E">
        <w:trPr>
          <w:trHeight w:hRule="exact" w:val="454"/>
        </w:trPr>
        <w:tc>
          <w:tcPr>
            <w:tcW w:w="180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Guaranteed loans</w:t>
            </w:r>
          </w:p>
        </w:tc>
        <w:tc>
          <w:tcPr>
            <w:tcW w:w="16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212,188,479.87</w:t>
            </w:r>
          </w:p>
        </w:tc>
        <w:tc>
          <w:tcPr>
            <w:tcW w:w="165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113,887,295.43</w:t>
            </w:r>
          </w:p>
        </w:tc>
        <w:tc>
          <w:tcPr>
            <w:tcW w:w="16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40,653,308.94</w:t>
            </w:r>
          </w:p>
        </w:tc>
        <w:tc>
          <w:tcPr>
            <w:tcW w:w="154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2,536,780.00</w:t>
            </w:r>
          </w:p>
        </w:tc>
        <w:tc>
          <w:tcPr>
            <w:tcW w:w="192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369,265,864.24</w:t>
            </w:r>
          </w:p>
        </w:tc>
      </w:tr>
      <w:tr w:rsidR="000B609E">
        <w:trPr>
          <w:trHeight w:hRule="exact" w:val="454"/>
        </w:trPr>
        <w:tc>
          <w:tcPr>
            <w:tcW w:w="180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snapToGrid w:val="0"/>
                <w:color w:val="000000"/>
                <w:kern w:val="0"/>
                <w:sz w:val="18"/>
                <w:szCs w:val="18"/>
                <w:lang w:bidi="ar"/>
              </w:rPr>
              <w:t>Collateralized loans</w:t>
            </w:r>
          </w:p>
        </w:tc>
        <w:tc>
          <w:tcPr>
            <w:tcW w:w="16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118,062,077.62</w:t>
            </w:r>
          </w:p>
        </w:tc>
        <w:tc>
          <w:tcPr>
            <w:tcW w:w="165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187,161,109.86</w:t>
            </w:r>
          </w:p>
        </w:tc>
        <w:tc>
          <w:tcPr>
            <w:tcW w:w="16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39,759,728.80</w:t>
            </w:r>
          </w:p>
        </w:tc>
        <w:tc>
          <w:tcPr>
            <w:tcW w:w="154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14,289,346.31</w:t>
            </w:r>
          </w:p>
        </w:tc>
        <w:tc>
          <w:tcPr>
            <w:tcW w:w="192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359,272,262.59</w:t>
            </w:r>
          </w:p>
        </w:tc>
      </w:tr>
      <w:tr w:rsidR="000B609E" w:rsidTr="004F7CA9">
        <w:trPr>
          <w:trHeight w:hRule="exact" w:val="454"/>
        </w:trPr>
        <w:tc>
          <w:tcPr>
            <w:tcW w:w="180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textAlignment w:val="bottom"/>
              <w:rPr>
                <w:rFonts w:ascii="Times New Roman" w:eastAsia="宋体" w:hAnsi="Times New Roman" w:cs="Times New Roman"/>
                <w:snapToGrid w:val="0"/>
                <w:color w:val="000000"/>
                <w:kern w:val="0"/>
                <w:sz w:val="18"/>
                <w:szCs w:val="18"/>
                <w:lang w:bidi="ar"/>
              </w:rPr>
            </w:pPr>
            <w:r>
              <w:rPr>
                <w:rFonts w:ascii="Times New Roman" w:eastAsia="宋体" w:hAnsi="Times New Roman" w:cs="Times New Roman" w:hint="eastAsia"/>
                <w:snapToGrid w:val="0"/>
                <w:color w:val="000000"/>
                <w:kern w:val="0"/>
                <w:sz w:val="18"/>
                <w:szCs w:val="18"/>
                <w:lang w:bidi="ar"/>
              </w:rPr>
              <w:t>P</w:t>
            </w:r>
            <w:r>
              <w:rPr>
                <w:rFonts w:ascii="Times New Roman" w:eastAsia="宋体" w:hAnsi="Times New Roman" w:cs="Times New Roman"/>
                <w:snapToGrid w:val="0"/>
                <w:color w:val="000000"/>
                <w:kern w:val="0"/>
                <w:sz w:val="18"/>
                <w:szCs w:val="18"/>
                <w:lang w:bidi="ar"/>
              </w:rPr>
              <w:t>ledged loans</w:t>
            </w:r>
          </w:p>
        </w:tc>
        <w:tc>
          <w:tcPr>
            <w:tcW w:w="1654" w:type="dxa"/>
            <w:tcBorders>
              <w:top w:val="nil"/>
              <w:left w:val="nil"/>
              <w:bottom w:val="single" w:sz="4" w:space="0" w:color="auto"/>
              <w:right w:val="single" w:sz="4" w:space="0" w:color="auto"/>
            </w:tcBorders>
            <w:shd w:val="clear" w:color="auto" w:fill="auto"/>
            <w:vAlign w:val="bottom"/>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r w:rsidR="00B220E1">
              <w:rPr>
                <w:rFonts w:ascii="Arial Narrow" w:eastAsia="宋体" w:hAnsi="Arial Narrow" w:cs="Arial Narrow"/>
                <w:snapToGrid w:val="0"/>
                <w:kern w:val="0"/>
                <w:sz w:val="20"/>
                <w:szCs w:val="20"/>
                <w:lang w:val="en-GB"/>
              </w:rPr>
              <w:t xml:space="preserve">  </w:t>
            </w:r>
          </w:p>
        </w:tc>
        <w:tc>
          <w:tcPr>
            <w:tcW w:w="165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198,923.77</w:t>
            </w:r>
          </w:p>
        </w:tc>
        <w:tc>
          <w:tcPr>
            <w:tcW w:w="1642" w:type="dxa"/>
            <w:tcBorders>
              <w:top w:val="nil"/>
              <w:left w:val="nil"/>
              <w:bottom w:val="single" w:sz="4" w:space="0" w:color="auto"/>
              <w:right w:val="single" w:sz="4" w:space="0" w:color="auto"/>
            </w:tcBorders>
            <w:shd w:val="clear" w:color="auto" w:fill="auto"/>
            <w:vAlign w:val="bottom"/>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r w:rsidR="00B220E1">
              <w:rPr>
                <w:rFonts w:ascii="Arial Narrow" w:eastAsia="宋体" w:hAnsi="Arial Narrow" w:cs="Arial Narrow"/>
                <w:snapToGrid w:val="0"/>
                <w:kern w:val="0"/>
                <w:sz w:val="20"/>
                <w:szCs w:val="20"/>
                <w:lang w:val="en-GB"/>
              </w:rPr>
              <w:t xml:space="preserve">   </w:t>
            </w:r>
          </w:p>
        </w:tc>
        <w:tc>
          <w:tcPr>
            <w:tcW w:w="1549" w:type="dxa"/>
            <w:tcBorders>
              <w:top w:val="nil"/>
              <w:left w:val="nil"/>
              <w:bottom w:val="single" w:sz="4" w:space="0" w:color="auto"/>
              <w:right w:val="single" w:sz="4" w:space="0" w:color="auto"/>
            </w:tcBorders>
            <w:shd w:val="clear" w:color="auto" w:fill="auto"/>
            <w:vAlign w:val="bottom"/>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r w:rsidR="00B220E1">
              <w:rPr>
                <w:rFonts w:ascii="Arial Narrow" w:eastAsia="宋体" w:hAnsi="Arial Narrow" w:cs="Arial Narrow"/>
                <w:snapToGrid w:val="0"/>
                <w:kern w:val="0"/>
                <w:sz w:val="20"/>
                <w:szCs w:val="20"/>
                <w:lang w:val="en-GB"/>
              </w:rPr>
              <w:t xml:space="preserve">  </w:t>
            </w:r>
          </w:p>
        </w:tc>
        <w:tc>
          <w:tcPr>
            <w:tcW w:w="192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snapToGrid w:val="0"/>
                <w:kern w:val="0"/>
                <w:sz w:val="20"/>
                <w:szCs w:val="20"/>
                <w:lang w:val="en-GB"/>
              </w:rPr>
              <w:t>198,923.77</w:t>
            </w:r>
          </w:p>
        </w:tc>
      </w:tr>
      <w:tr w:rsidR="000B609E">
        <w:trPr>
          <w:trHeight w:hRule="exact" w:val="454"/>
        </w:trPr>
        <w:tc>
          <w:tcPr>
            <w:tcW w:w="1803"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65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331,995,006.47</w:t>
            </w:r>
          </w:p>
        </w:tc>
        <w:tc>
          <w:tcPr>
            <w:tcW w:w="1659"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301,837,481.82</w:t>
            </w:r>
          </w:p>
        </w:tc>
        <w:tc>
          <w:tcPr>
            <w:tcW w:w="164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81,038,980.20</w:t>
            </w:r>
          </w:p>
        </w:tc>
        <w:tc>
          <w:tcPr>
            <w:tcW w:w="1549"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16,826,126.31</w:t>
            </w:r>
          </w:p>
        </w:tc>
        <w:tc>
          <w:tcPr>
            <w:tcW w:w="1924"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lang w:val="en-GB"/>
              </w:rPr>
              <w:t>731,697,594.80</w:t>
            </w:r>
          </w:p>
        </w:tc>
      </w:tr>
    </w:tbl>
    <w:p w:rsidR="000B609E" w:rsidRDefault="00B220E1">
      <w:pPr>
        <w:pStyle w:val="11"/>
        <w:spacing w:beforeLines="50" w:before="156" w:after="156" w:line="360" w:lineRule="auto"/>
        <w:ind w:firstLineChars="0" w:firstLine="0"/>
        <w:rPr>
          <w:rFonts w:ascii="Times New Roman" w:hAnsi="Times New Roman" w:cs="Times New Roman"/>
          <w:sz w:val="24"/>
          <w:szCs w:val="24"/>
        </w:rPr>
      </w:pPr>
      <w:r>
        <w:rPr>
          <w:rFonts w:ascii="Times New Roman" w:hAnsi="Times New Roman" w:cs="Times New Roman" w:hint="eastAsia"/>
          <w:sz w:val="24"/>
          <w:szCs w:val="24"/>
        </w:rPr>
        <w:t>Note: Either the loan principal or interest is overdue for 1 day (inclusive), the loan should be measured as an overdue loan.</w:t>
      </w:r>
    </w:p>
    <w:p w:rsidR="000B609E" w:rsidRDefault="00B220E1">
      <w:pPr>
        <w:pStyle w:val="11"/>
        <w:numPr>
          <w:ilvl w:val="0"/>
          <w:numId w:val="20"/>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Provision of impairment for loans and advances </w:t>
      </w:r>
    </w:p>
    <w:p w:rsidR="000B609E" w:rsidRDefault="00B220E1">
      <w:pPr>
        <w:pStyle w:val="11"/>
        <w:spacing w:beforeLines="50" w:before="156" w:after="156" w:line="360" w:lineRule="auto"/>
        <w:ind w:leftChars="200" w:left="420" w:firstLineChars="0" w:firstLine="0"/>
        <w:rPr>
          <w:rFonts w:ascii="Times New Roman" w:hAnsi="Times New Roman" w:cs="Times New Roman"/>
          <w:sz w:val="24"/>
          <w:szCs w:val="24"/>
        </w:rPr>
      </w:pPr>
      <w:r>
        <w:rPr>
          <w:rFonts w:ascii="Times New Roman" w:hAnsi="Times New Roman" w:cs="Times New Roman" w:hint="eastAsia"/>
          <w:sz w:val="24"/>
          <w:szCs w:val="24"/>
        </w:rPr>
        <w:br w:type="page"/>
      </w:r>
    </w:p>
    <w:p w:rsidR="000B609E" w:rsidRDefault="00B220E1">
      <w:pPr>
        <w:pStyle w:val="11"/>
        <w:spacing w:beforeLines="50" w:before="156" w:after="156" w:line="360" w:lineRule="auto"/>
        <w:ind w:leftChars="200" w:left="420" w:firstLineChars="0" w:firstLine="0"/>
        <w:rPr>
          <w:rFonts w:ascii="Times New Roman" w:hAnsi="Times New Roman" w:cs="Times New Roman"/>
          <w:sz w:val="24"/>
          <w:szCs w:val="24"/>
        </w:rPr>
      </w:pPr>
      <w:r>
        <w:rPr>
          <w:rFonts w:ascii="Times New Roman" w:hAnsi="Times New Roman" w:cs="Times New Roman" w:hint="eastAsia"/>
          <w:sz w:val="24"/>
          <w:szCs w:val="24"/>
        </w:rPr>
        <w:lastRenderedPageBreak/>
        <w:t>The group</w:t>
      </w:r>
      <w:r>
        <w:rPr>
          <w:rFonts w:ascii="Times New Roman" w:hAnsi="Times New Roman" w:cs="Times New Roman" w:hint="eastAsia"/>
          <w:sz w:val="24"/>
          <w:szCs w:val="24"/>
        </w:rPr>
        <w:t>：</w:t>
      </w:r>
    </w:p>
    <w:tbl>
      <w:tblPr>
        <w:tblW w:w="10248" w:type="dxa"/>
        <w:tblInd w:w="-896"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2357"/>
        <w:gridCol w:w="2050"/>
        <w:gridCol w:w="1913"/>
        <w:gridCol w:w="1850"/>
        <w:gridCol w:w="2078"/>
      </w:tblGrid>
      <w:tr w:rsidR="000B609E">
        <w:trPr>
          <w:trHeight w:val="363"/>
          <w:tblHeader/>
        </w:trPr>
        <w:tc>
          <w:tcPr>
            <w:tcW w:w="2357" w:type="dxa"/>
            <w:vMerge w:val="restart"/>
            <w:tcBorders>
              <w:tl2br w:val="nil"/>
              <w:tr2bl w:val="nil"/>
            </w:tcBorders>
            <w:vAlign w:val="center"/>
          </w:tcPr>
          <w:p w:rsidR="000B609E" w:rsidRDefault="00B220E1">
            <w:pPr>
              <w:spacing w:afterLines="0" w:after="0"/>
              <w:ind w:firstLineChars="0" w:firstLine="0"/>
              <w:jc w:val="center"/>
              <w:rPr>
                <w:rFonts w:ascii="Times New Roman" w:hAnsi="Times New Roman" w:cs="Times New Roman"/>
                <w:b/>
                <w:color w:val="000000"/>
                <w:sz w:val="18"/>
                <w:szCs w:val="18"/>
              </w:rPr>
            </w:pPr>
            <w:r>
              <w:rPr>
                <w:rFonts w:ascii="Times New Roman" w:eastAsia="宋体" w:hAnsi="Times New Roman" w:cs="Times New Roman"/>
                <w:b/>
                <w:bCs/>
                <w:color w:val="000000"/>
                <w:kern w:val="0"/>
                <w:sz w:val="18"/>
                <w:szCs w:val="18"/>
              </w:rPr>
              <w:t>Items</w:t>
            </w:r>
          </w:p>
        </w:tc>
        <w:tc>
          <w:tcPr>
            <w:tcW w:w="7891" w:type="dxa"/>
            <w:gridSpan w:val="4"/>
            <w:tcBorders>
              <w:tl2br w:val="nil"/>
              <w:tr2bl w:val="nil"/>
            </w:tcBorders>
            <w:vAlign w:val="center"/>
          </w:tcPr>
          <w:p w:rsidR="000B609E" w:rsidRDefault="00B220E1">
            <w:pPr>
              <w:spacing w:afterLines="0" w:after="0"/>
              <w:ind w:firstLine="361"/>
              <w:jc w:val="center"/>
              <w:rPr>
                <w:rFonts w:ascii="Arial" w:hAnsi="Arial" w:cs="Arial"/>
                <w:b/>
                <w:color w:val="000000"/>
                <w:sz w:val="18"/>
                <w:szCs w:val="18"/>
              </w:rPr>
            </w:pPr>
            <w:r>
              <w:rPr>
                <w:rFonts w:ascii="Arial" w:hAnsi="Arial" w:cs="Arial" w:hint="eastAsia"/>
                <w:b/>
                <w:color w:val="000000"/>
                <w:sz w:val="18"/>
                <w:szCs w:val="18"/>
              </w:rPr>
              <w:t>2020</w:t>
            </w:r>
          </w:p>
        </w:tc>
      </w:tr>
      <w:tr w:rsidR="000B609E">
        <w:trPr>
          <w:trHeight w:val="363"/>
          <w:tblHeader/>
        </w:trPr>
        <w:tc>
          <w:tcPr>
            <w:tcW w:w="2357" w:type="dxa"/>
            <w:vMerge/>
            <w:tcBorders>
              <w:tl2br w:val="nil"/>
              <w:tr2bl w:val="nil"/>
            </w:tcBorders>
            <w:vAlign w:val="center"/>
          </w:tcPr>
          <w:p w:rsidR="000B609E" w:rsidRDefault="000B609E">
            <w:pPr>
              <w:spacing w:afterLines="0" w:after="0"/>
              <w:ind w:firstLine="361"/>
              <w:jc w:val="center"/>
              <w:rPr>
                <w:rFonts w:ascii="Times New Roman" w:hAnsi="Times New Roman" w:cs="Times New Roman"/>
                <w:b/>
                <w:color w:val="000000"/>
                <w:sz w:val="18"/>
                <w:szCs w:val="18"/>
              </w:rPr>
            </w:pPr>
          </w:p>
        </w:tc>
        <w:tc>
          <w:tcPr>
            <w:tcW w:w="2050" w:type="dxa"/>
            <w:tcBorders>
              <w:tl2br w:val="nil"/>
              <w:tr2bl w:val="nil"/>
            </w:tcBorders>
            <w:vAlign w:val="center"/>
          </w:tcPr>
          <w:p w:rsidR="000B609E" w:rsidRDefault="00B220E1">
            <w:pPr>
              <w:spacing w:afterLines="0" w:after="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1</w:t>
            </w:r>
          </w:p>
        </w:tc>
        <w:tc>
          <w:tcPr>
            <w:tcW w:w="1913" w:type="dxa"/>
            <w:tcBorders>
              <w:tl2br w:val="nil"/>
              <w:tr2bl w:val="nil"/>
            </w:tcBorders>
            <w:vAlign w:val="center"/>
          </w:tcPr>
          <w:p w:rsidR="000B609E" w:rsidRDefault="00B220E1">
            <w:pPr>
              <w:spacing w:afterLines="0" w:after="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2</w:t>
            </w:r>
          </w:p>
        </w:tc>
        <w:tc>
          <w:tcPr>
            <w:tcW w:w="1850" w:type="dxa"/>
            <w:tcBorders>
              <w:tl2br w:val="nil"/>
              <w:tr2bl w:val="nil"/>
            </w:tcBorders>
            <w:vAlign w:val="center"/>
          </w:tcPr>
          <w:p w:rsidR="000B609E" w:rsidRDefault="00B220E1">
            <w:pPr>
              <w:spacing w:afterLines="0" w:after="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3</w:t>
            </w:r>
          </w:p>
        </w:tc>
        <w:tc>
          <w:tcPr>
            <w:tcW w:w="2078" w:type="dxa"/>
            <w:tcBorders>
              <w:tl2br w:val="nil"/>
              <w:tr2bl w:val="nil"/>
            </w:tcBorders>
            <w:vAlign w:val="center"/>
          </w:tcPr>
          <w:p w:rsidR="000B609E" w:rsidRDefault="00B220E1">
            <w:pPr>
              <w:spacing w:afterLines="0" w:after="0"/>
              <w:ind w:firstLine="361"/>
              <w:jc w:val="center"/>
              <w:rPr>
                <w:rFonts w:ascii="Arial" w:hAnsi="Arial" w:cs="Arial"/>
                <w:b/>
                <w:color w:val="000000"/>
                <w:sz w:val="18"/>
                <w:szCs w:val="18"/>
              </w:rPr>
            </w:pPr>
            <w:r>
              <w:rPr>
                <w:rFonts w:ascii="Times New Roman" w:eastAsia="宋体" w:hAnsi="Times New Roman" w:cs="Times New Roman"/>
                <w:b/>
                <w:kern w:val="0"/>
                <w:sz w:val="18"/>
                <w:szCs w:val="18"/>
              </w:rPr>
              <w:t>Total</w:t>
            </w:r>
          </w:p>
        </w:tc>
      </w:tr>
      <w:tr w:rsidR="000B609E">
        <w:trPr>
          <w:trHeight w:hRule="exact" w:val="454"/>
        </w:trPr>
        <w:tc>
          <w:tcPr>
            <w:tcW w:w="10248" w:type="dxa"/>
            <w:gridSpan w:val="5"/>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Loans and advances measured at amortized cost</w:t>
            </w:r>
          </w:p>
        </w:tc>
      </w:tr>
      <w:tr w:rsidR="000B609E">
        <w:trPr>
          <w:trHeight w:hRule="exact" w:val="454"/>
        </w:trPr>
        <w:tc>
          <w:tcPr>
            <w:tcW w:w="2357"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-1-1</w:t>
            </w:r>
          </w:p>
        </w:tc>
        <w:tc>
          <w:tcPr>
            <w:tcW w:w="2050"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 xml:space="preserve"> 401,576,581.29 </w:t>
            </w:r>
          </w:p>
        </w:tc>
        <w:tc>
          <w:tcPr>
            <w:tcW w:w="1913"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 xml:space="preserve"> 474,060,030.63 </w:t>
            </w:r>
          </w:p>
        </w:tc>
        <w:tc>
          <w:tcPr>
            <w:tcW w:w="1850"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 xml:space="preserve"> 497,893,908.31 </w:t>
            </w:r>
          </w:p>
        </w:tc>
        <w:tc>
          <w:tcPr>
            <w:tcW w:w="2078"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 xml:space="preserve">1,373,530,520.23 </w:t>
            </w:r>
          </w:p>
        </w:tc>
      </w:tr>
      <w:tr w:rsidR="000B609E">
        <w:trPr>
          <w:trHeight w:hRule="exact" w:val="454"/>
        </w:trPr>
        <w:tc>
          <w:tcPr>
            <w:tcW w:w="2357"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Charge for the year</w:t>
            </w:r>
          </w:p>
        </w:tc>
        <w:tc>
          <w:tcPr>
            <w:tcW w:w="2050" w:type="dxa"/>
            <w:tcBorders>
              <w:tl2br w:val="nil"/>
              <w:tr2bl w:val="nil"/>
            </w:tcBorders>
            <w:shd w:val="clear" w:color="auto" w:fill="auto"/>
            <w:vAlign w:val="center"/>
          </w:tcPr>
          <w:p w:rsidR="000B609E" w:rsidRPr="00960AC4" w:rsidRDefault="00B220E1" w:rsidP="00960AC4">
            <w:pPr>
              <w:spacing w:afterLines="0" w:after="0"/>
              <w:ind w:firstLineChars="0" w:firstLine="0"/>
              <w:jc w:val="right"/>
              <w:rPr>
                <w:rFonts w:ascii="Arial Narrow" w:eastAsia="宋体" w:hAnsi="Arial Narrow" w:cs="Arial Narrow"/>
                <w:snapToGrid w:val="0"/>
                <w:kern w:val="0"/>
                <w:sz w:val="20"/>
                <w:szCs w:val="20"/>
              </w:rPr>
            </w:pPr>
            <w:r w:rsidRPr="00960AC4">
              <w:rPr>
                <w:rFonts w:ascii="Arial Narrow" w:eastAsia="宋体" w:hAnsi="Arial Narrow" w:cs="Arial Narrow"/>
                <w:snapToGrid w:val="0"/>
                <w:kern w:val="0"/>
                <w:sz w:val="20"/>
                <w:szCs w:val="20"/>
              </w:rPr>
              <w:t>54,552,009.43</w:t>
            </w:r>
          </w:p>
        </w:tc>
        <w:tc>
          <w:tcPr>
            <w:tcW w:w="1913" w:type="dxa"/>
            <w:tcBorders>
              <w:tl2br w:val="nil"/>
              <w:tr2bl w:val="nil"/>
            </w:tcBorders>
            <w:shd w:val="clear" w:color="auto" w:fill="auto"/>
            <w:vAlign w:val="center"/>
          </w:tcPr>
          <w:p w:rsidR="000B609E" w:rsidRPr="003522A5" w:rsidRDefault="00B220E1" w:rsidP="00960AC4">
            <w:pPr>
              <w:spacing w:afterLines="0" w:after="0"/>
              <w:ind w:firstLine="400"/>
              <w:jc w:val="right"/>
              <w:textAlignment w:val="bottom"/>
              <w:rPr>
                <w:rFonts w:ascii="Arial Narrow" w:eastAsia="宋体" w:hAnsi="Arial Narrow" w:cs="Arial Narrow"/>
                <w:snapToGrid w:val="0"/>
                <w:kern w:val="0"/>
                <w:sz w:val="20"/>
                <w:szCs w:val="20"/>
                <w:lang w:val="en-GB"/>
              </w:rPr>
            </w:pPr>
            <w:r w:rsidRPr="003522A5">
              <w:rPr>
                <w:rFonts w:ascii="Arial Narrow" w:eastAsia="宋体" w:hAnsi="Arial Narrow" w:cs="Arial Narrow"/>
                <w:snapToGrid w:val="0"/>
                <w:kern w:val="0"/>
                <w:sz w:val="20"/>
                <w:szCs w:val="20"/>
                <w:lang w:val="en-GB"/>
              </w:rPr>
              <w:t>-118,950,081.89</w:t>
            </w:r>
            <w:r w:rsidRPr="003522A5">
              <w:rPr>
                <w:rFonts w:ascii="Arial Narrow" w:eastAsia="宋体" w:hAnsi="Arial Narrow" w:cs="Arial Narrow" w:hint="eastAsia"/>
                <w:snapToGrid w:val="0"/>
                <w:kern w:val="0"/>
                <w:sz w:val="20"/>
                <w:szCs w:val="20"/>
                <w:lang w:val="en-GB"/>
              </w:rPr>
              <w:t xml:space="preserve"> </w:t>
            </w:r>
          </w:p>
        </w:tc>
        <w:tc>
          <w:tcPr>
            <w:tcW w:w="18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223,072,309.49</w:t>
            </w:r>
          </w:p>
        </w:tc>
        <w:tc>
          <w:tcPr>
            <w:tcW w:w="2078"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158,674,237.02</w:t>
            </w:r>
          </w:p>
        </w:tc>
      </w:tr>
      <w:tr w:rsidR="000B609E">
        <w:trPr>
          <w:trHeight w:hRule="exact" w:val="907"/>
        </w:trPr>
        <w:tc>
          <w:tcPr>
            <w:tcW w:w="2357"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Recovery of loans and advances written off in previous years</w:t>
            </w:r>
          </w:p>
        </w:tc>
        <w:tc>
          <w:tcPr>
            <w:tcW w:w="2050"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913"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232,789,093.84</w:t>
            </w:r>
          </w:p>
        </w:tc>
        <w:tc>
          <w:tcPr>
            <w:tcW w:w="2078"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232,789,093.84</w:t>
            </w:r>
          </w:p>
        </w:tc>
      </w:tr>
      <w:tr w:rsidR="000B609E">
        <w:trPr>
          <w:trHeight w:hRule="exact" w:val="454"/>
        </w:trPr>
        <w:tc>
          <w:tcPr>
            <w:tcW w:w="2357"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Write-off</w:t>
            </w:r>
          </w:p>
        </w:tc>
        <w:tc>
          <w:tcPr>
            <w:tcW w:w="2050"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913"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510,898,524.71</w:t>
            </w:r>
          </w:p>
        </w:tc>
        <w:tc>
          <w:tcPr>
            <w:tcW w:w="2078"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510,898,524.71</w:t>
            </w:r>
          </w:p>
        </w:tc>
      </w:tr>
      <w:tr w:rsidR="000B609E">
        <w:trPr>
          <w:trHeight w:hRule="exact" w:val="454"/>
        </w:trPr>
        <w:tc>
          <w:tcPr>
            <w:tcW w:w="2357"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Other</w:t>
            </w:r>
          </w:p>
        </w:tc>
        <w:tc>
          <w:tcPr>
            <w:tcW w:w="2050"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913"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50"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078"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r>
      <w:tr w:rsidR="000B609E">
        <w:trPr>
          <w:trHeight w:hRule="exact" w:val="472"/>
        </w:trPr>
        <w:tc>
          <w:tcPr>
            <w:tcW w:w="2357"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2050" w:type="dxa"/>
            <w:tcBorders>
              <w:tl2br w:val="nil"/>
              <w:tr2bl w:val="nil"/>
            </w:tcBorders>
            <w:shd w:val="clear" w:color="auto" w:fill="auto"/>
            <w:vAlign w:val="center"/>
          </w:tcPr>
          <w:p w:rsidR="000B609E" w:rsidRPr="003522A5" w:rsidRDefault="00B220E1" w:rsidP="003522A5">
            <w:pPr>
              <w:spacing w:afterLines="0" w:after="0"/>
              <w:ind w:firstLineChars="0" w:firstLine="0"/>
              <w:jc w:val="right"/>
              <w:rPr>
                <w:rFonts w:ascii="Arial Narrow" w:hAnsi="Arial Narrow"/>
                <w:b/>
                <w:color w:val="000000"/>
                <w:sz w:val="20"/>
                <w:szCs w:val="20"/>
              </w:rPr>
            </w:pPr>
            <w:r w:rsidRPr="003522A5">
              <w:rPr>
                <w:rFonts w:ascii="Arial Narrow" w:hAnsi="Arial Narrow"/>
                <w:b/>
                <w:color w:val="000000"/>
                <w:sz w:val="20"/>
                <w:szCs w:val="20"/>
              </w:rPr>
              <w:t>456,128,590.72</w:t>
            </w:r>
            <w:r w:rsidRPr="003522A5">
              <w:rPr>
                <w:rFonts w:ascii="Arial Narrow" w:hAnsi="Arial Narrow" w:hint="eastAsia"/>
                <w:b/>
                <w:color w:val="000000"/>
                <w:sz w:val="20"/>
                <w:szCs w:val="20"/>
              </w:rPr>
              <w:t xml:space="preserve"> </w:t>
            </w:r>
          </w:p>
        </w:tc>
        <w:tc>
          <w:tcPr>
            <w:tcW w:w="1913" w:type="dxa"/>
            <w:tcBorders>
              <w:tl2br w:val="nil"/>
              <w:tr2bl w:val="nil"/>
            </w:tcBorders>
            <w:shd w:val="clear" w:color="auto" w:fill="auto"/>
            <w:vAlign w:val="center"/>
          </w:tcPr>
          <w:p w:rsidR="000B609E" w:rsidRPr="003522A5" w:rsidRDefault="00B220E1" w:rsidP="003522A5">
            <w:pPr>
              <w:spacing w:afterLines="0" w:after="0"/>
              <w:ind w:firstLineChars="0" w:firstLine="0"/>
              <w:jc w:val="right"/>
              <w:rPr>
                <w:rFonts w:ascii="Arial Narrow" w:hAnsi="Arial Narrow"/>
                <w:b/>
                <w:color w:val="000000"/>
                <w:sz w:val="20"/>
                <w:szCs w:val="20"/>
              </w:rPr>
            </w:pPr>
            <w:r w:rsidRPr="003522A5">
              <w:rPr>
                <w:rFonts w:ascii="Arial Narrow" w:hAnsi="Arial Narrow"/>
                <w:b/>
                <w:color w:val="000000"/>
                <w:sz w:val="20"/>
                <w:szCs w:val="20"/>
              </w:rPr>
              <w:t>355,109,948.74</w:t>
            </w:r>
          </w:p>
        </w:tc>
        <w:tc>
          <w:tcPr>
            <w:tcW w:w="1850" w:type="dxa"/>
            <w:tcBorders>
              <w:tl2br w:val="nil"/>
              <w:tr2bl w:val="nil"/>
            </w:tcBorders>
            <w:shd w:val="clear" w:color="auto" w:fill="auto"/>
            <w:vAlign w:val="center"/>
          </w:tcPr>
          <w:p w:rsidR="000B609E" w:rsidRPr="003522A5" w:rsidRDefault="00B220E1" w:rsidP="003522A5">
            <w:pPr>
              <w:spacing w:afterLines="0" w:after="0"/>
              <w:ind w:firstLineChars="0" w:firstLine="0"/>
              <w:jc w:val="right"/>
              <w:rPr>
                <w:rFonts w:ascii="Arial Narrow" w:hAnsi="Arial Narrow"/>
                <w:b/>
                <w:color w:val="000000"/>
                <w:sz w:val="20"/>
                <w:szCs w:val="20"/>
              </w:rPr>
            </w:pPr>
            <w:r w:rsidRPr="003522A5">
              <w:rPr>
                <w:rFonts w:ascii="Arial Narrow" w:hAnsi="Arial Narrow"/>
                <w:b/>
                <w:color w:val="000000"/>
                <w:sz w:val="20"/>
                <w:szCs w:val="20"/>
              </w:rPr>
              <w:t>442,856,786.93</w:t>
            </w:r>
            <w:r w:rsidRPr="003522A5">
              <w:rPr>
                <w:rFonts w:ascii="Arial Narrow" w:hAnsi="Arial Narrow" w:hint="eastAsia"/>
                <w:b/>
                <w:color w:val="000000"/>
                <w:sz w:val="20"/>
                <w:szCs w:val="20"/>
              </w:rPr>
              <w:t xml:space="preserve"> </w:t>
            </w:r>
          </w:p>
        </w:tc>
        <w:tc>
          <w:tcPr>
            <w:tcW w:w="2078" w:type="dxa"/>
            <w:tcBorders>
              <w:tl2br w:val="nil"/>
              <w:tr2bl w:val="nil"/>
            </w:tcBorders>
            <w:shd w:val="clear" w:color="auto" w:fill="auto"/>
            <w:vAlign w:val="center"/>
          </w:tcPr>
          <w:p w:rsidR="000B609E" w:rsidRPr="003522A5" w:rsidRDefault="00B220E1" w:rsidP="003522A5">
            <w:pPr>
              <w:spacing w:afterLines="0" w:after="0"/>
              <w:ind w:firstLineChars="0" w:firstLine="0"/>
              <w:jc w:val="right"/>
              <w:rPr>
                <w:rFonts w:ascii="Arial Narrow" w:hAnsi="Arial Narrow"/>
                <w:b/>
                <w:color w:val="000000"/>
                <w:sz w:val="20"/>
                <w:szCs w:val="20"/>
              </w:rPr>
            </w:pPr>
            <w:r w:rsidRPr="003522A5">
              <w:rPr>
                <w:rFonts w:ascii="Arial Narrow" w:hAnsi="Arial Narrow"/>
                <w:b/>
                <w:color w:val="000000"/>
                <w:sz w:val="20"/>
                <w:szCs w:val="20"/>
              </w:rPr>
              <w:t>1,254,095,326.38</w:t>
            </w:r>
            <w:r w:rsidRPr="003522A5">
              <w:rPr>
                <w:rFonts w:ascii="Arial Narrow" w:hAnsi="Arial Narrow" w:hint="eastAsia"/>
                <w:b/>
                <w:color w:val="000000"/>
                <w:sz w:val="20"/>
                <w:szCs w:val="20"/>
              </w:rPr>
              <w:t xml:space="preserve"> </w:t>
            </w:r>
          </w:p>
        </w:tc>
      </w:tr>
      <w:tr w:rsidR="000B609E">
        <w:trPr>
          <w:trHeight w:hRule="exact" w:val="454"/>
        </w:trPr>
        <w:tc>
          <w:tcPr>
            <w:tcW w:w="10248" w:type="dxa"/>
            <w:gridSpan w:val="5"/>
            <w:tcBorders>
              <w:tl2br w:val="nil"/>
              <w:tr2bl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20"/>
                <w:szCs w:val="20"/>
              </w:rPr>
            </w:pPr>
            <w:r>
              <w:rPr>
                <w:rFonts w:ascii="Times New Roman" w:eastAsia="宋体" w:hAnsi="Times New Roman" w:cs="Times New Roman"/>
                <w:snapToGrid w:val="0"/>
                <w:kern w:val="0"/>
                <w:sz w:val="20"/>
                <w:szCs w:val="20"/>
              </w:rPr>
              <w:t>Loans and advances measured at FVOCI</w:t>
            </w:r>
          </w:p>
        </w:tc>
      </w:tr>
      <w:tr w:rsidR="000B609E">
        <w:trPr>
          <w:trHeight w:hRule="exact" w:val="783"/>
        </w:trPr>
        <w:tc>
          <w:tcPr>
            <w:tcW w:w="2357"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-1-1</w:t>
            </w:r>
          </w:p>
        </w:tc>
        <w:tc>
          <w:tcPr>
            <w:tcW w:w="2050" w:type="dxa"/>
            <w:tcBorders>
              <w:tl2br w:val="nil"/>
              <w:tr2bl w:val="nil"/>
            </w:tcBorders>
            <w:shd w:val="clear" w:color="auto" w:fill="auto"/>
            <w:vAlign w:val="center"/>
          </w:tcPr>
          <w:p w:rsidR="000B609E" w:rsidRDefault="00B220E1">
            <w:pPr>
              <w:spacing w:afterLines="0" w:after="0"/>
              <w:ind w:firstLine="400"/>
              <w:jc w:val="right"/>
              <w:textAlignment w:val="bottom"/>
              <w:rPr>
                <w:rFonts w:ascii="Arial Narrow" w:hAnsi="Arial Narrow" w:cs="Arial Narrow"/>
                <w:color w:val="000000"/>
                <w:sz w:val="20"/>
                <w:szCs w:val="20"/>
              </w:rPr>
            </w:pPr>
            <w:r>
              <w:rPr>
                <w:rFonts w:ascii="Arial Narrow" w:eastAsia="宋体" w:hAnsi="Arial Narrow" w:cs="Arial Narrow"/>
                <w:snapToGrid w:val="0"/>
                <w:kern w:val="0"/>
                <w:sz w:val="20"/>
                <w:szCs w:val="20"/>
                <w:lang w:val="en-GB"/>
              </w:rPr>
              <w:t xml:space="preserve"> 31,256,093.29 </w:t>
            </w:r>
          </w:p>
        </w:tc>
        <w:tc>
          <w:tcPr>
            <w:tcW w:w="1913" w:type="dxa"/>
            <w:tcBorders>
              <w:tl2br w:val="nil"/>
              <w:tr2bl w:val="nil"/>
            </w:tcBorders>
            <w:shd w:val="clear" w:color="auto" w:fill="auto"/>
            <w:vAlign w:val="center"/>
          </w:tcPr>
          <w:p w:rsidR="000B609E" w:rsidRDefault="00DF783A">
            <w:pPr>
              <w:spacing w:afterLines="0" w:after="0"/>
              <w:ind w:firstLine="400"/>
              <w:jc w:val="right"/>
              <w:textAlignment w:val="bottom"/>
              <w:rPr>
                <w:rFonts w:ascii="Arial Narrow" w:hAnsi="Arial Narrow" w:cs="Arial Narrow"/>
                <w:color w:val="000000"/>
                <w:sz w:val="20"/>
                <w:szCs w:val="20"/>
              </w:rPr>
            </w:pPr>
            <w:r>
              <w:rPr>
                <w:rFonts w:ascii="Arial Narrow" w:hAnsi="Arial Narrow" w:cs="Arial Narrow" w:hint="eastAsia"/>
                <w:color w:val="000000"/>
                <w:sz w:val="20"/>
                <w:szCs w:val="20"/>
              </w:rPr>
              <w:t>-</w:t>
            </w:r>
          </w:p>
        </w:tc>
        <w:tc>
          <w:tcPr>
            <w:tcW w:w="1850" w:type="dxa"/>
            <w:tcBorders>
              <w:tl2br w:val="nil"/>
              <w:tr2bl w:val="nil"/>
            </w:tcBorders>
            <w:shd w:val="clear" w:color="auto" w:fill="auto"/>
            <w:vAlign w:val="center"/>
          </w:tcPr>
          <w:p w:rsidR="000B609E" w:rsidRDefault="00DF783A">
            <w:pPr>
              <w:spacing w:afterLines="0" w:after="0"/>
              <w:ind w:firstLine="400"/>
              <w:jc w:val="right"/>
              <w:textAlignment w:val="bottom"/>
              <w:rPr>
                <w:rFonts w:ascii="Arial Narrow" w:hAnsi="Arial Narrow" w:cs="Arial Narrow"/>
                <w:color w:val="000000"/>
                <w:sz w:val="20"/>
                <w:szCs w:val="20"/>
              </w:rPr>
            </w:pPr>
            <w:r>
              <w:rPr>
                <w:rFonts w:ascii="Arial Narrow" w:hAnsi="Arial Narrow" w:cs="Arial Narrow" w:hint="eastAsia"/>
                <w:color w:val="000000"/>
                <w:sz w:val="20"/>
                <w:szCs w:val="20"/>
              </w:rPr>
              <w:t>-</w:t>
            </w:r>
          </w:p>
        </w:tc>
        <w:tc>
          <w:tcPr>
            <w:tcW w:w="2078" w:type="dxa"/>
            <w:tcBorders>
              <w:tl2br w:val="nil"/>
              <w:tr2bl w:val="nil"/>
            </w:tcBorders>
            <w:shd w:val="clear" w:color="auto" w:fill="auto"/>
            <w:vAlign w:val="center"/>
          </w:tcPr>
          <w:p w:rsidR="000B609E" w:rsidRDefault="00B220E1">
            <w:pPr>
              <w:spacing w:afterLines="0" w:after="0"/>
              <w:ind w:firstLine="400"/>
              <w:jc w:val="right"/>
              <w:textAlignment w:val="bottom"/>
              <w:rPr>
                <w:rFonts w:ascii="Arial Narrow" w:hAnsi="Arial Narrow" w:cs="Arial Narrow"/>
                <w:color w:val="000000"/>
                <w:sz w:val="20"/>
                <w:szCs w:val="20"/>
              </w:rPr>
            </w:pPr>
            <w:r>
              <w:rPr>
                <w:rFonts w:ascii="Arial Narrow" w:eastAsia="宋体" w:hAnsi="Arial Narrow" w:cs="Arial Narrow"/>
                <w:snapToGrid w:val="0"/>
                <w:kern w:val="0"/>
                <w:sz w:val="20"/>
                <w:szCs w:val="20"/>
                <w:lang w:val="en-GB"/>
              </w:rPr>
              <w:t xml:space="preserve"> 31,256,093.29 </w:t>
            </w:r>
          </w:p>
        </w:tc>
      </w:tr>
      <w:tr w:rsidR="000B609E">
        <w:trPr>
          <w:trHeight w:hRule="exact" w:val="454"/>
        </w:trPr>
        <w:tc>
          <w:tcPr>
            <w:tcW w:w="2357"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Charge for the year</w:t>
            </w:r>
          </w:p>
        </w:tc>
        <w:tc>
          <w:tcPr>
            <w:tcW w:w="20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16,203,922.95</w:t>
            </w:r>
          </w:p>
        </w:tc>
        <w:tc>
          <w:tcPr>
            <w:tcW w:w="1913"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50"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078"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16,203,922.95</w:t>
            </w:r>
          </w:p>
        </w:tc>
      </w:tr>
      <w:tr w:rsidR="000B609E">
        <w:trPr>
          <w:trHeight w:hRule="exact" w:val="454"/>
        </w:trPr>
        <w:tc>
          <w:tcPr>
            <w:tcW w:w="2357"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20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b/>
                <w:color w:val="000000"/>
                <w:sz w:val="20"/>
                <w:szCs w:val="20"/>
              </w:rPr>
              <w:t>47,460,016.24</w:t>
            </w:r>
          </w:p>
        </w:tc>
        <w:tc>
          <w:tcPr>
            <w:tcW w:w="1913"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50"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078"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b/>
                <w:color w:val="000000"/>
                <w:sz w:val="20"/>
                <w:szCs w:val="20"/>
              </w:rPr>
              <w:t>47,460,016.24</w:t>
            </w:r>
          </w:p>
        </w:tc>
      </w:tr>
      <w:tr w:rsidR="000B609E">
        <w:trPr>
          <w:trHeight w:hRule="exact" w:val="570"/>
        </w:trPr>
        <w:tc>
          <w:tcPr>
            <w:tcW w:w="2357" w:type="dxa"/>
            <w:tcBorders>
              <w:tl2br w:val="nil"/>
              <w:tr2bl w:val="nil"/>
            </w:tcBorders>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2050" w:type="dxa"/>
            <w:tcBorders>
              <w:tl2br w:val="nil"/>
              <w:tr2bl w:val="nil"/>
            </w:tcBorders>
            <w:shd w:val="clear" w:color="auto" w:fill="auto"/>
            <w:vAlign w:val="center"/>
          </w:tcPr>
          <w:p w:rsidR="000B609E" w:rsidRPr="003522A5" w:rsidRDefault="00B220E1" w:rsidP="003522A5">
            <w:pPr>
              <w:spacing w:afterLines="0" w:after="0"/>
              <w:ind w:firstLineChars="0" w:firstLine="0"/>
              <w:jc w:val="right"/>
              <w:rPr>
                <w:rFonts w:ascii="Arial Narrow" w:hAnsi="Arial Narrow"/>
                <w:b/>
                <w:color w:val="000000"/>
                <w:sz w:val="20"/>
                <w:szCs w:val="20"/>
              </w:rPr>
            </w:pPr>
            <w:r w:rsidRPr="003522A5">
              <w:rPr>
                <w:rFonts w:ascii="Arial Narrow" w:hAnsi="Arial Narrow"/>
                <w:b/>
                <w:color w:val="000000"/>
                <w:sz w:val="20"/>
                <w:szCs w:val="20"/>
              </w:rPr>
              <w:t>503,588,606.96</w:t>
            </w:r>
          </w:p>
        </w:tc>
        <w:tc>
          <w:tcPr>
            <w:tcW w:w="1913" w:type="dxa"/>
            <w:tcBorders>
              <w:tl2br w:val="nil"/>
              <w:tr2bl w:val="nil"/>
            </w:tcBorders>
            <w:shd w:val="clear" w:color="auto" w:fill="auto"/>
            <w:vAlign w:val="center"/>
          </w:tcPr>
          <w:p w:rsidR="000B609E" w:rsidRPr="003522A5" w:rsidRDefault="00B220E1" w:rsidP="003522A5">
            <w:pPr>
              <w:spacing w:afterLines="0" w:after="0"/>
              <w:ind w:firstLineChars="0" w:firstLine="0"/>
              <w:jc w:val="right"/>
              <w:rPr>
                <w:rFonts w:ascii="Arial Narrow" w:hAnsi="Arial Narrow"/>
                <w:b/>
                <w:color w:val="000000"/>
                <w:sz w:val="20"/>
                <w:szCs w:val="20"/>
              </w:rPr>
            </w:pPr>
            <w:r w:rsidRPr="003522A5">
              <w:rPr>
                <w:rFonts w:ascii="Arial Narrow" w:hAnsi="Arial Narrow"/>
                <w:b/>
                <w:color w:val="000000"/>
                <w:sz w:val="20"/>
                <w:szCs w:val="20"/>
              </w:rPr>
              <w:t>355,109,948.74</w:t>
            </w:r>
            <w:r w:rsidRPr="003522A5">
              <w:rPr>
                <w:rFonts w:ascii="Arial Narrow" w:hAnsi="Arial Narrow" w:hint="eastAsia"/>
                <w:b/>
                <w:color w:val="000000"/>
                <w:sz w:val="20"/>
                <w:szCs w:val="20"/>
              </w:rPr>
              <w:t xml:space="preserve"> </w:t>
            </w:r>
          </w:p>
        </w:tc>
        <w:tc>
          <w:tcPr>
            <w:tcW w:w="1850" w:type="dxa"/>
            <w:tcBorders>
              <w:tl2br w:val="nil"/>
              <w:tr2bl w:val="nil"/>
            </w:tcBorders>
            <w:shd w:val="clear" w:color="auto" w:fill="auto"/>
            <w:vAlign w:val="center"/>
          </w:tcPr>
          <w:p w:rsidR="000B609E" w:rsidRPr="003522A5" w:rsidRDefault="00B220E1" w:rsidP="003522A5">
            <w:pPr>
              <w:spacing w:afterLines="0" w:after="0"/>
              <w:ind w:firstLineChars="0" w:firstLine="0"/>
              <w:jc w:val="right"/>
              <w:rPr>
                <w:rFonts w:ascii="Arial Narrow" w:hAnsi="Arial Narrow"/>
                <w:b/>
                <w:color w:val="000000"/>
                <w:sz w:val="20"/>
                <w:szCs w:val="20"/>
              </w:rPr>
            </w:pPr>
            <w:r w:rsidRPr="003522A5">
              <w:rPr>
                <w:rFonts w:ascii="Arial Narrow" w:hAnsi="Arial Narrow"/>
                <w:b/>
                <w:color w:val="000000"/>
                <w:sz w:val="20"/>
                <w:szCs w:val="20"/>
              </w:rPr>
              <w:t>442,856,786.93</w:t>
            </w:r>
            <w:r w:rsidRPr="003522A5">
              <w:rPr>
                <w:rFonts w:ascii="Arial Narrow" w:hAnsi="Arial Narrow" w:hint="eastAsia"/>
                <w:b/>
                <w:color w:val="000000"/>
                <w:sz w:val="20"/>
                <w:szCs w:val="20"/>
              </w:rPr>
              <w:t xml:space="preserve"> </w:t>
            </w:r>
          </w:p>
        </w:tc>
        <w:tc>
          <w:tcPr>
            <w:tcW w:w="2078" w:type="dxa"/>
            <w:tcBorders>
              <w:tl2br w:val="nil"/>
              <w:tr2bl w:val="nil"/>
            </w:tcBorders>
            <w:shd w:val="clear" w:color="auto" w:fill="auto"/>
            <w:vAlign w:val="center"/>
          </w:tcPr>
          <w:p w:rsidR="000B609E" w:rsidRPr="003522A5" w:rsidRDefault="00B220E1" w:rsidP="003522A5">
            <w:pPr>
              <w:spacing w:afterLines="0" w:after="0"/>
              <w:ind w:firstLineChars="0" w:firstLine="0"/>
              <w:jc w:val="right"/>
              <w:rPr>
                <w:rFonts w:ascii="Arial Narrow" w:hAnsi="Arial Narrow"/>
                <w:b/>
                <w:color w:val="000000"/>
                <w:sz w:val="20"/>
                <w:szCs w:val="20"/>
              </w:rPr>
            </w:pPr>
            <w:r w:rsidRPr="003522A5">
              <w:rPr>
                <w:rFonts w:ascii="Arial Narrow" w:hAnsi="Arial Narrow"/>
                <w:b/>
                <w:color w:val="000000"/>
                <w:sz w:val="20"/>
                <w:szCs w:val="20"/>
              </w:rPr>
              <w:t>1,301,555,342.62</w:t>
            </w:r>
          </w:p>
        </w:tc>
      </w:tr>
    </w:tbl>
    <w:p w:rsidR="000B609E" w:rsidRDefault="00B220E1">
      <w:pPr>
        <w:spacing w:beforeLines="50" w:before="156"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The </w:t>
      </w:r>
      <w:r>
        <w:rPr>
          <w:rFonts w:ascii="Times New Roman" w:eastAsia="宋体" w:hAnsi="Times New Roman" w:cs="Times New Roman"/>
          <w:kern w:val="0"/>
          <w:sz w:val="20"/>
          <w:szCs w:val="20"/>
        </w:rPr>
        <w:t>Bank</w:t>
      </w:r>
      <w:r>
        <w:rPr>
          <w:rFonts w:ascii="Times New Roman" w:hAnsi="Times New Roman" w:cs="Times New Roman" w:hint="eastAsia"/>
          <w:sz w:val="24"/>
          <w:szCs w:val="24"/>
        </w:rPr>
        <w:t>：</w:t>
      </w:r>
    </w:p>
    <w:tbl>
      <w:tblPr>
        <w:tblW w:w="10260" w:type="dxa"/>
        <w:tblInd w:w="-907"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2395"/>
        <w:gridCol w:w="1912"/>
        <w:gridCol w:w="1975"/>
        <w:gridCol w:w="1875"/>
        <w:gridCol w:w="2103"/>
      </w:tblGrid>
      <w:tr w:rsidR="000B609E">
        <w:trPr>
          <w:trHeight w:val="363"/>
          <w:tblHeader/>
        </w:trPr>
        <w:tc>
          <w:tcPr>
            <w:tcW w:w="2395" w:type="dxa"/>
            <w:vMerge w:val="restart"/>
            <w:tcBorders>
              <w:tl2br w:val="nil"/>
              <w:tr2bl w:val="nil"/>
            </w:tcBorders>
            <w:vAlign w:val="center"/>
          </w:tcPr>
          <w:p w:rsidR="000B609E" w:rsidRDefault="00B220E1">
            <w:pPr>
              <w:spacing w:afterLines="0" w:after="0"/>
              <w:ind w:firstLineChars="0" w:firstLine="0"/>
              <w:jc w:val="center"/>
              <w:rPr>
                <w:rFonts w:ascii="Times New Roman" w:hAnsi="Times New Roman" w:cs="Times New Roman"/>
                <w:b/>
                <w:color w:val="000000"/>
                <w:sz w:val="18"/>
                <w:szCs w:val="18"/>
              </w:rPr>
            </w:pPr>
            <w:r>
              <w:rPr>
                <w:rFonts w:ascii="Times New Roman" w:eastAsia="宋体" w:hAnsi="Times New Roman" w:cs="Times New Roman"/>
                <w:b/>
                <w:bCs/>
                <w:color w:val="000000"/>
                <w:kern w:val="0"/>
                <w:sz w:val="18"/>
                <w:szCs w:val="18"/>
              </w:rPr>
              <w:t>Items</w:t>
            </w:r>
          </w:p>
        </w:tc>
        <w:tc>
          <w:tcPr>
            <w:tcW w:w="7865" w:type="dxa"/>
            <w:gridSpan w:val="4"/>
            <w:tcBorders>
              <w:tl2br w:val="nil"/>
              <w:tr2bl w:val="nil"/>
            </w:tcBorders>
            <w:vAlign w:val="center"/>
          </w:tcPr>
          <w:p w:rsidR="000B609E" w:rsidRDefault="00B220E1">
            <w:pPr>
              <w:spacing w:afterLines="0" w:after="0"/>
              <w:ind w:firstLine="361"/>
              <w:jc w:val="center"/>
              <w:rPr>
                <w:rFonts w:ascii="Arial" w:hAnsi="Arial" w:cs="Arial"/>
                <w:b/>
                <w:color w:val="000000"/>
                <w:sz w:val="18"/>
                <w:szCs w:val="18"/>
              </w:rPr>
            </w:pPr>
            <w:r>
              <w:rPr>
                <w:rFonts w:ascii="Arial" w:hAnsi="Arial" w:cs="Arial" w:hint="eastAsia"/>
                <w:b/>
                <w:color w:val="000000"/>
                <w:sz w:val="18"/>
                <w:szCs w:val="18"/>
              </w:rPr>
              <w:t>2020</w:t>
            </w:r>
          </w:p>
        </w:tc>
      </w:tr>
      <w:tr w:rsidR="000B609E">
        <w:trPr>
          <w:trHeight w:val="363"/>
          <w:tblHeader/>
        </w:trPr>
        <w:tc>
          <w:tcPr>
            <w:tcW w:w="2395" w:type="dxa"/>
            <w:vMerge/>
            <w:tcBorders>
              <w:tl2br w:val="nil"/>
              <w:tr2bl w:val="nil"/>
            </w:tcBorders>
            <w:vAlign w:val="center"/>
          </w:tcPr>
          <w:p w:rsidR="000B609E" w:rsidRDefault="000B609E">
            <w:pPr>
              <w:spacing w:afterLines="0" w:after="0"/>
              <w:ind w:firstLine="361"/>
              <w:jc w:val="center"/>
              <w:rPr>
                <w:rFonts w:ascii="Times New Roman" w:hAnsi="Times New Roman" w:cs="Times New Roman"/>
                <w:b/>
                <w:color w:val="000000"/>
                <w:sz w:val="18"/>
                <w:szCs w:val="18"/>
              </w:rPr>
            </w:pPr>
          </w:p>
        </w:tc>
        <w:tc>
          <w:tcPr>
            <w:tcW w:w="1912" w:type="dxa"/>
            <w:tcBorders>
              <w:tl2br w:val="nil"/>
              <w:tr2bl w:val="nil"/>
            </w:tcBorders>
            <w:vAlign w:val="center"/>
          </w:tcPr>
          <w:p w:rsidR="000B609E" w:rsidRDefault="00B220E1">
            <w:pPr>
              <w:spacing w:afterLines="0" w:after="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1</w:t>
            </w:r>
          </w:p>
        </w:tc>
        <w:tc>
          <w:tcPr>
            <w:tcW w:w="1975" w:type="dxa"/>
            <w:tcBorders>
              <w:tl2br w:val="nil"/>
              <w:tr2bl w:val="nil"/>
            </w:tcBorders>
            <w:vAlign w:val="center"/>
          </w:tcPr>
          <w:p w:rsidR="000B609E" w:rsidRDefault="00B220E1">
            <w:pPr>
              <w:spacing w:afterLines="0" w:after="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2</w:t>
            </w:r>
          </w:p>
        </w:tc>
        <w:tc>
          <w:tcPr>
            <w:tcW w:w="1875" w:type="dxa"/>
            <w:tcBorders>
              <w:tl2br w:val="nil"/>
              <w:tr2bl w:val="nil"/>
            </w:tcBorders>
            <w:vAlign w:val="center"/>
          </w:tcPr>
          <w:p w:rsidR="000B609E" w:rsidRDefault="00B220E1">
            <w:pPr>
              <w:spacing w:afterLines="0" w:after="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3</w:t>
            </w:r>
          </w:p>
        </w:tc>
        <w:tc>
          <w:tcPr>
            <w:tcW w:w="2103" w:type="dxa"/>
            <w:tcBorders>
              <w:tl2br w:val="nil"/>
              <w:tr2bl w:val="nil"/>
            </w:tcBorders>
            <w:vAlign w:val="center"/>
          </w:tcPr>
          <w:p w:rsidR="000B609E" w:rsidRDefault="00B220E1">
            <w:pPr>
              <w:spacing w:afterLines="0" w:after="0"/>
              <w:ind w:firstLine="361"/>
              <w:jc w:val="center"/>
              <w:rPr>
                <w:rFonts w:ascii="Arial" w:hAnsi="Arial" w:cs="Arial"/>
                <w:b/>
                <w:color w:val="000000"/>
                <w:sz w:val="18"/>
                <w:szCs w:val="18"/>
              </w:rPr>
            </w:pPr>
            <w:r>
              <w:rPr>
                <w:rFonts w:ascii="Times New Roman" w:eastAsia="宋体" w:hAnsi="Times New Roman" w:cs="Times New Roman"/>
                <w:b/>
                <w:kern w:val="0"/>
                <w:sz w:val="18"/>
                <w:szCs w:val="18"/>
              </w:rPr>
              <w:t>Total</w:t>
            </w:r>
          </w:p>
        </w:tc>
      </w:tr>
      <w:tr w:rsidR="000B609E">
        <w:trPr>
          <w:trHeight w:hRule="exact" w:val="454"/>
        </w:trPr>
        <w:tc>
          <w:tcPr>
            <w:tcW w:w="10260" w:type="dxa"/>
            <w:gridSpan w:val="5"/>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Loans and advances measured at amortized cost</w:t>
            </w:r>
          </w:p>
        </w:tc>
      </w:tr>
      <w:tr w:rsidR="000B609E">
        <w:trPr>
          <w:trHeight w:hRule="exact" w:val="454"/>
        </w:trPr>
        <w:tc>
          <w:tcPr>
            <w:tcW w:w="2395"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-1-1</w:t>
            </w:r>
          </w:p>
        </w:tc>
        <w:tc>
          <w:tcPr>
            <w:tcW w:w="1912"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b/>
                <w:bCs/>
                <w:snapToGrid w:val="0"/>
                <w:kern w:val="0"/>
                <w:sz w:val="20"/>
                <w:szCs w:val="20"/>
              </w:rPr>
              <w:t xml:space="preserve">391,198,558.28 </w:t>
            </w:r>
          </w:p>
        </w:tc>
        <w:tc>
          <w:tcPr>
            <w:tcW w:w="1975"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b/>
                <w:bCs/>
                <w:snapToGrid w:val="0"/>
                <w:kern w:val="0"/>
                <w:sz w:val="20"/>
                <w:szCs w:val="20"/>
              </w:rPr>
              <w:t xml:space="preserve"> 473,702,413.54 </w:t>
            </w:r>
          </w:p>
        </w:tc>
        <w:tc>
          <w:tcPr>
            <w:tcW w:w="1875"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b/>
                <w:bCs/>
                <w:snapToGrid w:val="0"/>
                <w:kern w:val="0"/>
                <w:sz w:val="20"/>
                <w:szCs w:val="20"/>
              </w:rPr>
              <w:t xml:space="preserve"> 494,129,548.41 </w:t>
            </w:r>
          </w:p>
        </w:tc>
        <w:tc>
          <w:tcPr>
            <w:tcW w:w="2103"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b/>
                <w:bCs/>
                <w:snapToGrid w:val="0"/>
                <w:kern w:val="0"/>
                <w:sz w:val="20"/>
                <w:szCs w:val="20"/>
              </w:rPr>
              <w:t xml:space="preserve">1,359,030,520.23 </w:t>
            </w:r>
          </w:p>
        </w:tc>
      </w:tr>
      <w:tr w:rsidR="000B609E">
        <w:trPr>
          <w:trHeight w:hRule="exact" w:val="454"/>
        </w:trPr>
        <w:tc>
          <w:tcPr>
            <w:tcW w:w="2395"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Charge for the year</w:t>
            </w:r>
          </w:p>
        </w:tc>
        <w:tc>
          <w:tcPr>
            <w:tcW w:w="1912"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53,120,557.98</w:t>
            </w:r>
            <w:r>
              <w:rPr>
                <w:rFonts w:ascii="Arial Narrow" w:eastAsia="宋体" w:hAnsi="Arial Narrow" w:cs="Arial Narrow" w:hint="eastAsia"/>
                <w:snapToGrid w:val="0"/>
                <w:kern w:val="0"/>
                <w:sz w:val="20"/>
                <w:szCs w:val="20"/>
              </w:rPr>
              <w:t xml:space="preserve"> </w:t>
            </w:r>
          </w:p>
        </w:tc>
        <w:tc>
          <w:tcPr>
            <w:tcW w:w="1975" w:type="dxa"/>
            <w:tcBorders>
              <w:tl2br w:val="nil"/>
              <w:tr2bl w:val="nil"/>
            </w:tcBorders>
            <w:shd w:val="clear" w:color="auto" w:fill="auto"/>
            <w:vAlign w:val="center"/>
          </w:tcPr>
          <w:p w:rsidR="000B609E" w:rsidRDefault="00B220E1">
            <w:pPr>
              <w:spacing w:after="156"/>
              <w:ind w:firstLine="400"/>
              <w:jc w:val="right"/>
              <w:rPr>
                <w:sz w:val="20"/>
                <w:szCs w:val="20"/>
              </w:rPr>
            </w:pPr>
            <w:r>
              <w:rPr>
                <w:rFonts w:ascii="Arial Narrow" w:hAnsi="Arial Narrow" w:cs="Calibri"/>
                <w:color w:val="000000"/>
                <w:sz w:val="20"/>
                <w:szCs w:val="20"/>
              </w:rPr>
              <w:t>-118,999,408.39</w:t>
            </w:r>
          </w:p>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 xml:space="preserve"> </w:t>
            </w:r>
          </w:p>
        </w:tc>
        <w:tc>
          <w:tcPr>
            <w:tcW w:w="1875"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219,429,108.10</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153,550,257.68</w:t>
            </w:r>
          </w:p>
        </w:tc>
      </w:tr>
      <w:tr w:rsidR="000B609E">
        <w:trPr>
          <w:trHeight w:hRule="exact" w:val="907"/>
        </w:trPr>
        <w:tc>
          <w:tcPr>
            <w:tcW w:w="2395"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Recovery of loans and advances written off in previous years</w:t>
            </w:r>
          </w:p>
        </w:tc>
        <w:tc>
          <w:tcPr>
            <w:tcW w:w="1912"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975"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75"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228,946,873.18</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228,946,873.18</w:t>
            </w:r>
          </w:p>
        </w:tc>
      </w:tr>
      <w:tr w:rsidR="000B609E">
        <w:trPr>
          <w:trHeight w:hRule="exact" w:val="454"/>
        </w:trPr>
        <w:tc>
          <w:tcPr>
            <w:tcW w:w="2395"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Write-off</w:t>
            </w:r>
          </w:p>
        </w:tc>
        <w:tc>
          <w:tcPr>
            <w:tcW w:w="1912"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975"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75"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503,932,324.71</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s="Calibri"/>
                <w:color w:val="000000"/>
                <w:sz w:val="20"/>
                <w:szCs w:val="20"/>
              </w:rPr>
              <w:t>503,932,324.71</w:t>
            </w:r>
          </w:p>
        </w:tc>
      </w:tr>
      <w:tr w:rsidR="000B609E">
        <w:trPr>
          <w:trHeight w:hRule="exact" w:val="454"/>
        </w:trPr>
        <w:tc>
          <w:tcPr>
            <w:tcW w:w="2395"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Other</w:t>
            </w:r>
          </w:p>
        </w:tc>
        <w:tc>
          <w:tcPr>
            <w:tcW w:w="1912"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975"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75"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103"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r>
      <w:tr w:rsidR="000B609E">
        <w:trPr>
          <w:trHeight w:hRule="exact" w:val="454"/>
        </w:trPr>
        <w:tc>
          <w:tcPr>
            <w:tcW w:w="2395"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912" w:type="dxa"/>
            <w:tcBorders>
              <w:tl2br w:val="nil"/>
              <w:tr2bl w:val="nil"/>
            </w:tcBorders>
            <w:shd w:val="clear" w:color="auto" w:fill="auto"/>
            <w:vAlign w:val="center"/>
          </w:tcPr>
          <w:p w:rsidR="000B609E" w:rsidRPr="003522A5" w:rsidRDefault="00B220E1" w:rsidP="00B77871">
            <w:pPr>
              <w:spacing w:afterLines="0" w:after="0"/>
              <w:ind w:firstLineChars="0" w:firstLine="0"/>
              <w:jc w:val="right"/>
              <w:rPr>
                <w:rFonts w:ascii="Arial Narrow" w:hAnsi="Arial Narrow" w:cs="Calibri"/>
                <w:b/>
                <w:bCs/>
                <w:color w:val="000000"/>
                <w:sz w:val="20"/>
                <w:szCs w:val="20"/>
              </w:rPr>
            </w:pPr>
            <w:r w:rsidRPr="003522A5">
              <w:rPr>
                <w:rFonts w:ascii="Arial Narrow" w:hAnsi="Arial Narrow" w:cs="Calibri"/>
                <w:b/>
                <w:bCs/>
                <w:color w:val="000000"/>
                <w:sz w:val="20"/>
                <w:szCs w:val="20"/>
              </w:rPr>
              <w:t>444,319,116.26</w:t>
            </w:r>
            <w:r w:rsidRPr="003522A5">
              <w:rPr>
                <w:rFonts w:ascii="Arial Narrow" w:hAnsi="Arial Narrow" w:cs="Calibri" w:hint="eastAsia"/>
                <w:b/>
                <w:bCs/>
                <w:color w:val="000000"/>
                <w:sz w:val="20"/>
                <w:szCs w:val="20"/>
              </w:rPr>
              <w:t xml:space="preserve"> </w:t>
            </w:r>
          </w:p>
        </w:tc>
        <w:tc>
          <w:tcPr>
            <w:tcW w:w="1975" w:type="dxa"/>
            <w:tcBorders>
              <w:tl2br w:val="nil"/>
              <w:tr2bl w:val="nil"/>
            </w:tcBorders>
            <w:shd w:val="clear" w:color="auto" w:fill="auto"/>
            <w:vAlign w:val="center"/>
          </w:tcPr>
          <w:p w:rsidR="000B609E" w:rsidRPr="003522A5" w:rsidRDefault="00B220E1" w:rsidP="00B77871">
            <w:pPr>
              <w:spacing w:afterLines="0" w:after="0"/>
              <w:ind w:firstLineChars="0" w:firstLine="0"/>
              <w:jc w:val="right"/>
              <w:rPr>
                <w:rFonts w:ascii="Arial Narrow" w:hAnsi="Arial Narrow" w:cs="Calibri"/>
                <w:b/>
                <w:bCs/>
                <w:color w:val="000000"/>
                <w:sz w:val="20"/>
                <w:szCs w:val="20"/>
              </w:rPr>
            </w:pPr>
            <w:r w:rsidRPr="003522A5">
              <w:rPr>
                <w:rFonts w:ascii="Arial Narrow" w:hAnsi="Arial Narrow" w:cs="Calibri"/>
                <w:b/>
                <w:bCs/>
                <w:color w:val="000000"/>
                <w:sz w:val="20"/>
                <w:szCs w:val="20"/>
              </w:rPr>
              <w:t>354,703,005.15</w:t>
            </w:r>
            <w:r w:rsidRPr="003522A5">
              <w:rPr>
                <w:rFonts w:ascii="Arial Narrow" w:hAnsi="Arial Narrow" w:cs="Calibri" w:hint="eastAsia"/>
                <w:b/>
                <w:bCs/>
                <w:color w:val="000000"/>
                <w:sz w:val="20"/>
                <w:szCs w:val="20"/>
              </w:rPr>
              <w:t xml:space="preserve"> </w:t>
            </w:r>
          </w:p>
        </w:tc>
        <w:tc>
          <w:tcPr>
            <w:tcW w:w="1875" w:type="dxa"/>
            <w:tcBorders>
              <w:tl2br w:val="nil"/>
              <w:tr2bl w:val="nil"/>
            </w:tcBorders>
            <w:shd w:val="clear" w:color="auto" w:fill="auto"/>
            <w:vAlign w:val="center"/>
          </w:tcPr>
          <w:p w:rsidR="000B609E" w:rsidRPr="003522A5" w:rsidRDefault="00B220E1" w:rsidP="00B77871">
            <w:pPr>
              <w:spacing w:afterLines="0" w:after="0"/>
              <w:ind w:firstLineChars="0" w:firstLine="0"/>
              <w:jc w:val="right"/>
              <w:rPr>
                <w:rFonts w:ascii="Arial Narrow" w:hAnsi="Arial Narrow" w:cs="Calibri"/>
                <w:b/>
                <w:bCs/>
                <w:color w:val="000000"/>
                <w:sz w:val="20"/>
                <w:szCs w:val="20"/>
              </w:rPr>
            </w:pPr>
            <w:r w:rsidRPr="003522A5">
              <w:rPr>
                <w:rFonts w:ascii="Arial Narrow" w:hAnsi="Arial Narrow" w:cs="Calibri"/>
                <w:b/>
                <w:bCs/>
                <w:color w:val="000000"/>
                <w:sz w:val="20"/>
                <w:szCs w:val="20"/>
              </w:rPr>
              <w:t>438,573,204.98</w:t>
            </w:r>
          </w:p>
        </w:tc>
        <w:tc>
          <w:tcPr>
            <w:tcW w:w="2103" w:type="dxa"/>
            <w:tcBorders>
              <w:tl2br w:val="nil"/>
              <w:tr2bl w:val="nil"/>
            </w:tcBorders>
            <w:shd w:val="clear" w:color="auto" w:fill="auto"/>
            <w:vAlign w:val="center"/>
          </w:tcPr>
          <w:p w:rsidR="000B609E" w:rsidRPr="003522A5" w:rsidRDefault="00B220E1" w:rsidP="00B77871">
            <w:pPr>
              <w:spacing w:afterLines="0" w:after="0"/>
              <w:ind w:firstLineChars="0" w:firstLine="0"/>
              <w:jc w:val="right"/>
              <w:rPr>
                <w:rFonts w:ascii="Arial Narrow" w:hAnsi="Arial Narrow" w:cs="Calibri"/>
                <w:b/>
                <w:bCs/>
                <w:color w:val="000000"/>
                <w:sz w:val="20"/>
                <w:szCs w:val="20"/>
              </w:rPr>
            </w:pPr>
            <w:r w:rsidRPr="003522A5">
              <w:rPr>
                <w:rFonts w:ascii="Arial Narrow" w:hAnsi="Arial Narrow" w:cs="Calibri"/>
                <w:b/>
                <w:bCs/>
                <w:color w:val="000000"/>
                <w:sz w:val="20"/>
                <w:szCs w:val="20"/>
              </w:rPr>
              <w:t>1,237,595,326.38</w:t>
            </w:r>
          </w:p>
        </w:tc>
      </w:tr>
      <w:tr w:rsidR="000B609E">
        <w:trPr>
          <w:trHeight w:hRule="exact" w:val="454"/>
        </w:trPr>
        <w:tc>
          <w:tcPr>
            <w:tcW w:w="10260" w:type="dxa"/>
            <w:gridSpan w:val="5"/>
            <w:tcBorders>
              <w:tl2br w:val="nil"/>
              <w:tr2bl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lastRenderedPageBreak/>
              <w:t>Loans and advances measured at FVOCI</w:t>
            </w:r>
          </w:p>
        </w:tc>
      </w:tr>
      <w:tr w:rsidR="000B609E">
        <w:trPr>
          <w:trHeight w:hRule="exact" w:val="454"/>
        </w:trPr>
        <w:tc>
          <w:tcPr>
            <w:tcW w:w="2395"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-1-1</w:t>
            </w:r>
          </w:p>
        </w:tc>
        <w:tc>
          <w:tcPr>
            <w:tcW w:w="1912" w:type="dxa"/>
            <w:tcBorders>
              <w:tl2br w:val="nil"/>
              <w:tr2bl w:val="nil"/>
            </w:tcBorders>
            <w:shd w:val="clear" w:color="auto" w:fill="auto"/>
            <w:vAlign w:val="center"/>
          </w:tcPr>
          <w:p w:rsidR="000B609E" w:rsidRPr="0093399E" w:rsidRDefault="00B220E1">
            <w:pPr>
              <w:spacing w:afterLines="0" w:after="0"/>
              <w:ind w:firstLineChars="0" w:firstLine="0"/>
              <w:jc w:val="right"/>
              <w:rPr>
                <w:rFonts w:ascii="Arial Narrow" w:eastAsia="宋体" w:hAnsi="Arial Narrow" w:cs="Arial Narrow"/>
                <w:b/>
                <w:snapToGrid w:val="0"/>
                <w:kern w:val="0"/>
                <w:sz w:val="20"/>
                <w:szCs w:val="20"/>
                <w:lang w:val="en-GB"/>
              </w:rPr>
            </w:pPr>
            <w:r w:rsidRPr="0093399E">
              <w:rPr>
                <w:rFonts w:ascii="Arial Narrow" w:eastAsia="宋体" w:hAnsi="Arial Narrow" w:cs="Arial Narrow"/>
                <w:b/>
                <w:snapToGrid w:val="0"/>
                <w:kern w:val="0"/>
                <w:sz w:val="20"/>
                <w:szCs w:val="20"/>
                <w:lang w:val="en-GB"/>
              </w:rPr>
              <w:t xml:space="preserve"> 31,256,093.29 </w:t>
            </w:r>
          </w:p>
        </w:tc>
        <w:tc>
          <w:tcPr>
            <w:tcW w:w="1975" w:type="dxa"/>
            <w:tcBorders>
              <w:tl2br w:val="nil"/>
              <w:tr2bl w:val="nil"/>
            </w:tcBorders>
            <w:shd w:val="clear" w:color="auto" w:fill="auto"/>
            <w:vAlign w:val="center"/>
          </w:tcPr>
          <w:p w:rsidR="000B609E" w:rsidRPr="0093399E" w:rsidRDefault="00DF783A">
            <w:pPr>
              <w:spacing w:afterLines="0" w:after="0"/>
              <w:ind w:firstLineChars="0" w:firstLine="0"/>
              <w:jc w:val="right"/>
              <w:rPr>
                <w:rFonts w:ascii="Arial Narrow" w:eastAsia="宋体" w:hAnsi="Arial Narrow" w:cs="Arial Narrow"/>
                <w:b/>
                <w:snapToGrid w:val="0"/>
                <w:kern w:val="0"/>
                <w:sz w:val="20"/>
                <w:szCs w:val="20"/>
                <w:lang w:val="en-GB"/>
              </w:rPr>
            </w:pPr>
            <w:r w:rsidRPr="0093399E">
              <w:rPr>
                <w:rFonts w:ascii="Arial Narrow" w:eastAsia="宋体" w:hAnsi="Arial Narrow" w:cs="Arial Narrow" w:hint="eastAsia"/>
                <w:b/>
                <w:snapToGrid w:val="0"/>
                <w:kern w:val="0"/>
                <w:sz w:val="20"/>
                <w:szCs w:val="20"/>
                <w:lang w:val="en-GB"/>
              </w:rPr>
              <w:t>-</w:t>
            </w:r>
          </w:p>
        </w:tc>
        <w:tc>
          <w:tcPr>
            <w:tcW w:w="1875" w:type="dxa"/>
            <w:tcBorders>
              <w:tl2br w:val="nil"/>
              <w:tr2bl w:val="nil"/>
            </w:tcBorders>
            <w:shd w:val="clear" w:color="auto" w:fill="auto"/>
            <w:vAlign w:val="center"/>
          </w:tcPr>
          <w:p w:rsidR="000B609E" w:rsidRPr="0093399E" w:rsidRDefault="00DF783A">
            <w:pPr>
              <w:spacing w:afterLines="0" w:after="0"/>
              <w:ind w:firstLineChars="0" w:firstLine="0"/>
              <w:jc w:val="right"/>
              <w:rPr>
                <w:rFonts w:ascii="Arial Narrow" w:eastAsia="宋体" w:hAnsi="Arial Narrow" w:cs="Arial Narrow"/>
                <w:b/>
                <w:snapToGrid w:val="0"/>
                <w:kern w:val="0"/>
                <w:sz w:val="20"/>
                <w:szCs w:val="20"/>
                <w:lang w:val="en-GB"/>
              </w:rPr>
            </w:pPr>
            <w:r w:rsidRPr="0093399E">
              <w:rPr>
                <w:rFonts w:ascii="Arial Narrow" w:eastAsia="宋体" w:hAnsi="Arial Narrow" w:cs="Arial Narrow" w:hint="eastAsia"/>
                <w:b/>
                <w:snapToGrid w:val="0"/>
                <w:kern w:val="0"/>
                <w:sz w:val="20"/>
                <w:szCs w:val="20"/>
                <w:lang w:val="en-GB"/>
              </w:rPr>
              <w:t>-</w:t>
            </w:r>
          </w:p>
        </w:tc>
        <w:tc>
          <w:tcPr>
            <w:tcW w:w="2103" w:type="dxa"/>
            <w:tcBorders>
              <w:tl2br w:val="nil"/>
              <w:tr2bl w:val="nil"/>
            </w:tcBorders>
            <w:shd w:val="clear" w:color="auto" w:fill="auto"/>
            <w:vAlign w:val="center"/>
          </w:tcPr>
          <w:p w:rsidR="000B609E" w:rsidRPr="0093399E" w:rsidRDefault="00B220E1">
            <w:pPr>
              <w:spacing w:afterLines="0" w:after="0"/>
              <w:ind w:firstLineChars="0" w:firstLine="0"/>
              <w:jc w:val="right"/>
              <w:rPr>
                <w:rFonts w:ascii="Arial Narrow" w:eastAsia="宋体" w:hAnsi="Arial Narrow" w:cs="Arial Narrow"/>
                <w:b/>
                <w:snapToGrid w:val="0"/>
                <w:kern w:val="0"/>
                <w:sz w:val="20"/>
                <w:szCs w:val="20"/>
                <w:lang w:val="en-GB"/>
              </w:rPr>
            </w:pPr>
            <w:r w:rsidRPr="0093399E">
              <w:rPr>
                <w:rFonts w:ascii="Arial Narrow" w:eastAsia="宋体" w:hAnsi="Arial Narrow" w:cs="Arial Narrow"/>
                <w:b/>
                <w:snapToGrid w:val="0"/>
                <w:kern w:val="0"/>
                <w:sz w:val="20"/>
                <w:szCs w:val="20"/>
                <w:lang w:val="en-GB"/>
              </w:rPr>
              <w:t xml:space="preserve"> 31,256,093.29 </w:t>
            </w:r>
          </w:p>
        </w:tc>
      </w:tr>
      <w:tr w:rsidR="000B609E">
        <w:trPr>
          <w:trHeight w:hRule="exact" w:val="454"/>
        </w:trPr>
        <w:tc>
          <w:tcPr>
            <w:tcW w:w="2395"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rPr>
              <w:t>Charge for the year</w:t>
            </w:r>
          </w:p>
        </w:tc>
        <w:tc>
          <w:tcPr>
            <w:tcW w:w="1912"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16,203,922.95</w:t>
            </w:r>
          </w:p>
        </w:tc>
        <w:tc>
          <w:tcPr>
            <w:tcW w:w="1975"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75"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16,203,922.95</w:t>
            </w:r>
          </w:p>
        </w:tc>
      </w:tr>
      <w:tr w:rsidR="000B609E">
        <w:trPr>
          <w:trHeight w:hRule="exact" w:val="454"/>
        </w:trPr>
        <w:tc>
          <w:tcPr>
            <w:tcW w:w="2395"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912"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b/>
                <w:color w:val="000000"/>
                <w:sz w:val="20"/>
                <w:szCs w:val="20"/>
              </w:rPr>
              <w:t>47,460,016.24</w:t>
            </w:r>
          </w:p>
        </w:tc>
        <w:tc>
          <w:tcPr>
            <w:tcW w:w="1975"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1875" w:type="dxa"/>
            <w:tcBorders>
              <w:tl2br w:val="nil"/>
              <w:tr2bl w:val="nil"/>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b/>
                <w:color w:val="000000"/>
                <w:sz w:val="20"/>
                <w:szCs w:val="20"/>
              </w:rPr>
              <w:t>47,460,016.2</w:t>
            </w:r>
            <w:r w:rsidR="00601ADA">
              <w:rPr>
                <w:rFonts w:ascii="Arial Narrow" w:hAnsi="Arial Narrow"/>
                <w:b/>
                <w:color w:val="000000"/>
                <w:sz w:val="20"/>
                <w:szCs w:val="20"/>
              </w:rPr>
              <w:t>4</w:t>
            </w:r>
          </w:p>
        </w:tc>
      </w:tr>
      <w:tr w:rsidR="000B609E">
        <w:trPr>
          <w:trHeight w:hRule="exact" w:val="454"/>
        </w:trPr>
        <w:tc>
          <w:tcPr>
            <w:tcW w:w="2395" w:type="dxa"/>
            <w:tcBorders>
              <w:tl2br w:val="nil"/>
              <w:tr2bl w:val="nil"/>
            </w:tcBorders>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912"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bCs/>
                <w:color w:val="000000"/>
                <w:sz w:val="20"/>
                <w:szCs w:val="20"/>
              </w:rPr>
              <w:t>491,779,132.50</w:t>
            </w:r>
          </w:p>
        </w:tc>
        <w:tc>
          <w:tcPr>
            <w:tcW w:w="1975"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bCs/>
                <w:color w:val="000000"/>
                <w:sz w:val="20"/>
                <w:szCs w:val="20"/>
              </w:rPr>
              <w:t>354,703,005.15</w:t>
            </w:r>
          </w:p>
        </w:tc>
        <w:tc>
          <w:tcPr>
            <w:tcW w:w="1875"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bCs/>
                <w:color w:val="000000"/>
                <w:sz w:val="20"/>
                <w:szCs w:val="20"/>
              </w:rPr>
              <w:t>438,573,204.98</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bCs/>
                <w:color w:val="000000"/>
                <w:sz w:val="20"/>
                <w:szCs w:val="20"/>
              </w:rPr>
              <w:t>1,285,055,342.62</w:t>
            </w:r>
          </w:p>
        </w:tc>
      </w:tr>
    </w:tbl>
    <w:p w:rsidR="000B609E" w:rsidRDefault="00B220E1">
      <w:pPr>
        <w:spacing w:beforeLines="50" w:before="156"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Note: </w:t>
      </w:r>
      <w:r>
        <w:rPr>
          <w:rFonts w:ascii="Times New Roman" w:hAnsi="Times New Roman" w:cs="Times New Roman"/>
          <w:sz w:val="24"/>
          <w:szCs w:val="24"/>
        </w:rPr>
        <w:t>“Write-of</w:t>
      </w:r>
      <w:r>
        <w:rPr>
          <w:rFonts w:ascii="Times New Roman" w:hAnsi="Times New Roman" w:cs="Times New Roman" w:hint="eastAsia"/>
          <w:sz w:val="24"/>
          <w:szCs w:val="24"/>
        </w:rPr>
        <w:t>f</w:t>
      </w:r>
      <w:r>
        <w:rPr>
          <w:rFonts w:ascii="Times New Roman" w:hAnsi="Times New Roman" w:cs="Times New Roman"/>
          <w:sz w:val="24"/>
          <w:szCs w:val="24"/>
        </w:rPr>
        <w:t>”</w:t>
      </w:r>
      <w:r>
        <w:rPr>
          <w:rFonts w:ascii="Times New Roman" w:hAnsi="Times New Roman" w:cs="Times New Roman" w:hint="eastAsia"/>
          <w:sz w:val="24"/>
          <w:szCs w:val="24"/>
        </w:rPr>
        <w:t xml:space="preserve"> refers to </w:t>
      </w:r>
      <w:r>
        <w:rPr>
          <w:rFonts w:ascii="Times New Roman" w:hAnsi="Times New Roman" w:cs="Times New Roman"/>
          <w:sz w:val="24"/>
          <w:szCs w:val="24"/>
        </w:rPr>
        <w:t>impairment allowances</w:t>
      </w:r>
      <w:r>
        <w:rPr>
          <w:rFonts w:ascii="Times New Roman" w:hAnsi="Times New Roman" w:cs="Times New Roman" w:hint="eastAsia"/>
          <w:sz w:val="24"/>
          <w:szCs w:val="24"/>
        </w:rPr>
        <w:t xml:space="preserve"> of the </w:t>
      </w:r>
      <w:r>
        <w:rPr>
          <w:rFonts w:ascii="Times New Roman" w:hAnsi="Times New Roman" w:cs="Times New Roman"/>
          <w:sz w:val="24"/>
          <w:szCs w:val="24"/>
        </w:rPr>
        <w:t xml:space="preserve">loan </w:t>
      </w:r>
      <w:r>
        <w:rPr>
          <w:rFonts w:ascii="Times New Roman" w:hAnsi="Times New Roman" w:cs="Times New Roman" w:hint="eastAsia"/>
          <w:sz w:val="24"/>
          <w:szCs w:val="24"/>
        </w:rPr>
        <w:t>which has been approved</w:t>
      </w:r>
    </w:p>
    <w:p w:rsidR="000B609E" w:rsidRDefault="00B220E1">
      <w:pPr>
        <w:pStyle w:val="21"/>
        <w:tabs>
          <w:tab w:val="left" w:pos="603"/>
        </w:tabs>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6. Transaction monetary assets</w:t>
      </w:r>
    </w:p>
    <w:tbl>
      <w:tblPr>
        <w:tblW w:w="10272" w:type="dxa"/>
        <w:tblInd w:w="-901" w:type="dxa"/>
        <w:tblBorders>
          <w:top w:val="double" w:sz="4" w:space="0" w:color="000000"/>
          <w:bottom w:val="double" w:sz="4" w:space="0" w:color="000000"/>
          <w:insideH w:val="single" w:sz="4" w:space="0" w:color="000000"/>
          <w:insideV w:val="single" w:sz="4" w:space="0" w:color="000000"/>
        </w:tblBorders>
        <w:tblLayout w:type="fixed"/>
        <w:tblCellMar>
          <w:left w:w="113" w:type="dxa"/>
          <w:right w:w="113" w:type="dxa"/>
        </w:tblCellMar>
        <w:tblLook w:val="04A0" w:firstRow="1" w:lastRow="0" w:firstColumn="1" w:lastColumn="0" w:noHBand="0" w:noVBand="1"/>
      </w:tblPr>
      <w:tblGrid>
        <w:gridCol w:w="2595"/>
        <w:gridCol w:w="1836"/>
        <w:gridCol w:w="2075"/>
        <w:gridCol w:w="1675"/>
        <w:gridCol w:w="2091"/>
      </w:tblGrid>
      <w:tr w:rsidR="000B609E">
        <w:trPr>
          <w:trHeight w:val="421"/>
          <w:tblHeader/>
        </w:trPr>
        <w:tc>
          <w:tcPr>
            <w:tcW w:w="2595" w:type="dxa"/>
            <w:vMerge w:val="restart"/>
            <w:tcBorders>
              <w:tl2br w:val="nil"/>
              <w:tr2bl w:val="nil"/>
            </w:tcBorders>
            <w:shd w:val="clear" w:color="auto" w:fill="auto"/>
            <w:vAlign w:val="center"/>
          </w:tcPr>
          <w:p w:rsidR="000B609E" w:rsidRDefault="00B220E1">
            <w:pPr>
              <w:spacing w:afterLines="0" w:after="0"/>
              <w:ind w:firstLineChars="0" w:firstLine="0"/>
              <w:jc w:val="center"/>
              <w:textAlignment w:val="center"/>
              <w:rPr>
                <w:rFonts w:ascii="Arial" w:hAnsi="Arial" w:cs="Arial"/>
                <w:b/>
                <w:color w:val="000000"/>
                <w:sz w:val="18"/>
                <w:szCs w:val="18"/>
              </w:rPr>
            </w:pPr>
            <w:r>
              <w:rPr>
                <w:rFonts w:ascii="Times New Roman" w:eastAsia="宋体" w:hAnsi="Times New Roman" w:cs="Times New Roman"/>
                <w:b/>
                <w:bCs/>
                <w:color w:val="000000"/>
                <w:kern w:val="0"/>
                <w:sz w:val="18"/>
                <w:szCs w:val="18"/>
              </w:rPr>
              <w:t>Items</w:t>
            </w:r>
          </w:p>
        </w:tc>
        <w:tc>
          <w:tcPr>
            <w:tcW w:w="3911" w:type="dxa"/>
            <w:gridSpan w:val="2"/>
            <w:tcBorders>
              <w:tl2br w:val="nil"/>
              <w:tr2bl w:val="nil"/>
            </w:tcBorders>
            <w:shd w:val="clear" w:color="auto" w:fill="auto"/>
            <w:vAlign w:val="center"/>
          </w:tcPr>
          <w:p w:rsidR="000B609E" w:rsidRDefault="00B220E1">
            <w:pPr>
              <w:spacing w:afterLines="0" w:after="0"/>
              <w:ind w:firstLine="361"/>
              <w:jc w:val="center"/>
              <w:textAlignment w:val="center"/>
              <w:rPr>
                <w:rFonts w:ascii="宋体" w:hAnsi="宋体" w:cs="宋体"/>
                <w:b/>
                <w:color w:val="000000"/>
                <w:sz w:val="18"/>
                <w:szCs w:val="18"/>
              </w:rPr>
            </w:pPr>
            <w:r>
              <w:rPr>
                <w:rFonts w:ascii="Times New Roman" w:eastAsia="宋体" w:hAnsi="Times New Roman" w:cs="Times New Roman"/>
                <w:b/>
                <w:bCs/>
                <w:color w:val="000000"/>
                <w:kern w:val="0"/>
                <w:sz w:val="18"/>
                <w:szCs w:val="18"/>
              </w:rPr>
              <w:t>Group</w:t>
            </w:r>
          </w:p>
        </w:tc>
        <w:tc>
          <w:tcPr>
            <w:tcW w:w="3766" w:type="dxa"/>
            <w:gridSpan w:val="2"/>
            <w:tcBorders>
              <w:tl2br w:val="nil"/>
              <w:tr2bl w:val="nil"/>
            </w:tcBorders>
            <w:shd w:val="clear" w:color="auto" w:fill="auto"/>
            <w:vAlign w:val="center"/>
          </w:tcPr>
          <w:p w:rsidR="000B609E" w:rsidRDefault="00B220E1">
            <w:pPr>
              <w:spacing w:afterLines="0" w:after="0"/>
              <w:ind w:firstLine="361"/>
              <w:jc w:val="center"/>
              <w:textAlignment w:val="center"/>
              <w:rPr>
                <w:rFonts w:ascii="宋体" w:hAnsi="宋体" w:cs="宋体"/>
                <w:b/>
                <w:color w:val="000000"/>
                <w:sz w:val="18"/>
                <w:szCs w:val="18"/>
              </w:rPr>
            </w:pPr>
            <w:r>
              <w:rPr>
                <w:rFonts w:ascii="Times New Roman" w:eastAsia="宋体" w:hAnsi="Times New Roman" w:cs="Times New Roman"/>
                <w:b/>
                <w:kern w:val="0"/>
                <w:sz w:val="18"/>
                <w:szCs w:val="18"/>
              </w:rPr>
              <w:t>Bank</w:t>
            </w:r>
          </w:p>
        </w:tc>
      </w:tr>
      <w:tr w:rsidR="000B609E">
        <w:trPr>
          <w:trHeight w:val="421"/>
          <w:tblHeader/>
        </w:trPr>
        <w:tc>
          <w:tcPr>
            <w:tcW w:w="2595" w:type="dxa"/>
            <w:vMerge/>
            <w:tcBorders>
              <w:tl2br w:val="nil"/>
              <w:tr2bl w:val="nil"/>
            </w:tcBorders>
            <w:shd w:val="clear" w:color="auto" w:fill="auto"/>
            <w:vAlign w:val="center"/>
          </w:tcPr>
          <w:p w:rsidR="000B609E" w:rsidRDefault="000B609E">
            <w:pPr>
              <w:spacing w:afterLines="0" w:after="0"/>
              <w:ind w:firstLine="361"/>
              <w:jc w:val="center"/>
              <w:rPr>
                <w:rFonts w:ascii="Arial" w:hAnsi="Arial" w:cs="Arial"/>
                <w:b/>
                <w:color w:val="000000"/>
                <w:sz w:val="18"/>
                <w:szCs w:val="18"/>
              </w:rPr>
            </w:pPr>
          </w:p>
        </w:tc>
        <w:tc>
          <w:tcPr>
            <w:tcW w:w="1836" w:type="dxa"/>
            <w:tcBorders>
              <w:tl2br w:val="nil"/>
              <w:tr2bl w:val="nil"/>
            </w:tcBorders>
            <w:shd w:val="clear" w:color="auto" w:fill="auto"/>
            <w:vAlign w:val="center"/>
          </w:tcPr>
          <w:p w:rsidR="000B609E" w:rsidRDefault="00B220E1">
            <w:pPr>
              <w:spacing w:afterLines="0" w:after="0"/>
              <w:ind w:firstLine="361"/>
              <w:jc w:val="center"/>
              <w:textAlignment w:val="center"/>
              <w:rPr>
                <w:rFonts w:ascii="宋体" w:hAnsi="宋体" w:cs="宋体"/>
                <w:color w:val="00000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2075" w:type="dxa"/>
            <w:tcBorders>
              <w:tl2br w:val="nil"/>
              <w:tr2bl w:val="nil"/>
            </w:tcBorders>
            <w:shd w:val="clear" w:color="auto" w:fill="auto"/>
            <w:vAlign w:val="center"/>
          </w:tcPr>
          <w:p w:rsidR="000B609E" w:rsidRDefault="00B220E1">
            <w:pPr>
              <w:spacing w:afterLines="0" w:after="0"/>
              <w:ind w:firstLine="361"/>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2019-12-31</w:t>
            </w:r>
          </w:p>
        </w:tc>
        <w:tc>
          <w:tcPr>
            <w:tcW w:w="1675" w:type="dxa"/>
            <w:tcBorders>
              <w:tl2br w:val="nil"/>
              <w:tr2bl w:val="nil"/>
            </w:tcBorders>
            <w:shd w:val="clear" w:color="auto" w:fill="auto"/>
            <w:vAlign w:val="center"/>
          </w:tcPr>
          <w:p w:rsidR="000B609E" w:rsidRDefault="00B220E1">
            <w:pPr>
              <w:spacing w:afterLines="0" w:after="0"/>
              <w:ind w:firstLine="361"/>
              <w:jc w:val="center"/>
              <w:textAlignment w:val="center"/>
              <w:rPr>
                <w:rFonts w:ascii="宋体" w:hAnsi="宋体" w:cs="宋体"/>
                <w:color w:val="00000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2091" w:type="dxa"/>
            <w:tcBorders>
              <w:tl2br w:val="nil"/>
              <w:tr2bl w:val="nil"/>
            </w:tcBorders>
            <w:shd w:val="clear" w:color="auto" w:fill="auto"/>
            <w:vAlign w:val="center"/>
          </w:tcPr>
          <w:p w:rsidR="000B609E" w:rsidRDefault="00B220E1">
            <w:pPr>
              <w:spacing w:afterLines="0" w:after="0"/>
              <w:ind w:firstLine="361"/>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2019-12-31</w:t>
            </w:r>
          </w:p>
        </w:tc>
      </w:tr>
      <w:tr w:rsidR="000B609E">
        <w:trPr>
          <w:trHeight w:hRule="exact" w:val="454"/>
        </w:trPr>
        <w:tc>
          <w:tcPr>
            <w:tcW w:w="2595" w:type="dxa"/>
            <w:tcBorders>
              <w:tl2br w:val="nil"/>
              <w:tr2bl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Asset management plans</w:t>
            </w:r>
          </w:p>
        </w:tc>
        <w:tc>
          <w:tcPr>
            <w:tcW w:w="1836"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 xml:space="preserve">-   </w:t>
            </w:r>
          </w:p>
        </w:tc>
        <w:tc>
          <w:tcPr>
            <w:tcW w:w="2075"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s="Arial Narrow" w:hint="eastAsia"/>
                <w:color w:val="000000"/>
                <w:kern w:val="0"/>
                <w:sz w:val="20"/>
                <w:szCs w:val="20"/>
              </w:rPr>
              <w:t xml:space="preserve"> 50,000,000.00 </w:t>
            </w:r>
          </w:p>
        </w:tc>
        <w:tc>
          <w:tcPr>
            <w:tcW w:w="1675"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 xml:space="preserve">-   </w:t>
            </w:r>
          </w:p>
        </w:tc>
        <w:tc>
          <w:tcPr>
            <w:tcW w:w="2091"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s="Arial Narrow" w:hint="eastAsia"/>
                <w:color w:val="000000"/>
                <w:kern w:val="0"/>
                <w:sz w:val="20"/>
                <w:szCs w:val="20"/>
              </w:rPr>
              <w:t xml:space="preserve"> 50,000,000.00 </w:t>
            </w:r>
          </w:p>
        </w:tc>
      </w:tr>
      <w:tr w:rsidR="000B609E">
        <w:trPr>
          <w:trHeight w:hRule="exact" w:val="454"/>
        </w:trPr>
        <w:tc>
          <w:tcPr>
            <w:tcW w:w="2595" w:type="dxa"/>
            <w:tcBorders>
              <w:tl2br w:val="nil"/>
              <w:tr2bl w:val="nil"/>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Subtotal</w:t>
            </w:r>
          </w:p>
        </w:tc>
        <w:tc>
          <w:tcPr>
            <w:tcW w:w="1836" w:type="dxa"/>
            <w:tcBorders>
              <w:tl2br w:val="nil"/>
              <w:tr2bl w:val="nil"/>
            </w:tcBorders>
            <w:shd w:val="clear" w:color="auto" w:fill="auto"/>
            <w:vAlign w:val="center"/>
          </w:tcPr>
          <w:p w:rsidR="000B609E" w:rsidRPr="00E37440"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sidRPr="00E37440">
              <w:rPr>
                <w:rFonts w:ascii="Arial Narrow" w:hAnsi="Arial Narrow"/>
                <w:b/>
                <w:bCs/>
                <w:color w:val="000000"/>
                <w:kern w:val="0"/>
                <w:sz w:val="20"/>
                <w:szCs w:val="20"/>
              </w:rPr>
              <w:t xml:space="preserve">-   </w:t>
            </w:r>
          </w:p>
        </w:tc>
        <w:tc>
          <w:tcPr>
            <w:tcW w:w="2075" w:type="dxa"/>
            <w:tcBorders>
              <w:tl2br w:val="nil"/>
              <w:tr2bl w:val="nil"/>
            </w:tcBorders>
            <w:shd w:val="clear" w:color="auto" w:fill="auto"/>
            <w:vAlign w:val="center"/>
          </w:tcPr>
          <w:p w:rsidR="000B609E" w:rsidRPr="00E37440" w:rsidRDefault="00B220E1">
            <w:pPr>
              <w:spacing w:afterLines="0" w:after="0"/>
              <w:ind w:firstLineChars="0" w:firstLine="0"/>
              <w:jc w:val="right"/>
              <w:rPr>
                <w:rFonts w:ascii="Arial Narrow" w:hAnsi="Arial Narrow"/>
                <w:b/>
                <w:bCs/>
                <w:color w:val="000000"/>
                <w:kern w:val="0"/>
                <w:sz w:val="20"/>
                <w:szCs w:val="20"/>
              </w:rPr>
            </w:pPr>
            <w:r w:rsidRPr="00E37440">
              <w:rPr>
                <w:rFonts w:ascii="Arial Narrow" w:hAnsi="Arial Narrow" w:cs="Arial Narrow" w:hint="eastAsia"/>
                <w:b/>
                <w:color w:val="000000"/>
                <w:kern w:val="0"/>
                <w:sz w:val="20"/>
                <w:szCs w:val="20"/>
              </w:rPr>
              <w:t xml:space="preserve"> 50,000,000.00 </w:t>
            </w:r>
          </w:p>
        </w:tc>
        <w:tc>
          <w:tcPr>
            <w:tcW w:w="1675" w:type="dxa"/>
            <w:tcBorders>
              <w:tl2br w:val="nil"/>
              <w:tr2bl w:val="nil"/>
            </w:tcBorders>
            <w:shd w:val="clear" w:color="auto" w:fill="auto"/>
            <w:vAlign w:val="center"/>
          </w:tcPr>
          <w:p w:rsidR="000B609E" w:rsidRPr="00E37440"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sidRPr="00E37440">
              <w:rPr>
                <w:rFonts w:ascii="Arial Narrow" w:hAnsi="Arial Narrow"/>
                <w:b/>
                <w:bCs/>
                <w:color w:val="000000"/>
                <w:kern w:val="0"/>
                <w:sz w:val="20"/>
                <w:szCs w:val="20"/>
              </w:rPr>
              <w:t xml:space="preserve">-   </w:t>
            </w:r>
          </w:p>
        </w:tc>
        <w:tc>
          <w:tcPr>
            <w:tcW w:w="2091" w:type="dxa"/>
            <w:tcBorders>
              <w:tl2br w:val="nil"/>
              <w:tr2bl w:val="nil"/>
            </w:tcBorders>
            <w:shd w:val="clear" w:color="auto" w:fill="auto"/>
            <w:vAlign w:val="center"/>
          </w:tcPr>
          <w:p w:rsidR="000B609E" w:rsidRPr="00E37440" w:rsidRDefault="00D52061">
            <w:pPr>
              <w:spacing w:afterLines="0" w:after="0"/>
              <w:ind w:firstLineChars="0" w:firstLine="0"/>
              <w:jc w:val="right"/>
              <w:rPr>
                <w:rFonts w:ascii="Arial Narrow" w:hAnsi="Arial Narrow"/>
                <w:b/>
                <w:bCs/>
                <w:color w:val="000000"/>
                <w:kern w:val="0"/>
                <w:sz w:val="20"/>
                <w:szCs w:val="20"/>
              </w:rPr>
            </w:pPr>
            <w:r w:rsidRPr="00D52061">
              <w:rPr>
                <w:rFonts w:ascii="Arial Narrow" w:hAnsi="Arial Narrow"/>
                <w:b/>
                <w:bCs/>
                <w:color w:val="000000"/>
                <w:kern w:val="0"/>
                <w:sz w:val="20"/>
                <w:szCs w:val="20"/>
              </w:rPr>
              <w:t>50,000,000.00</w:t>
            </w:r>
          </w:p>
        </w:tc>
      </w:tr>
      <w:tr w:rsidR="000B609E">
        <w:trPr>
          <w:trHeight w:hRule="exact" w:val="454"/>
        </w:trPr>
        <w:tc>
          <w:tcPr>
            <w:tcW w:w="2595" w:type="dxa"/>
            <w:tcBorders>
              <w:tl2br w:val="nil"/>
              <w:tr2bl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proofErr w:type="spellStart"/>
            <w:proofErr w:type="gramStart"/>
            <w:r>
              <w:rPr>
                <w:rFonts w:ascii="Times New Roman" w:eastAsia="宋体" w:hAnsi="Times New Roman" w:cs="Times New Roman" w:hint="eastAsia"/>
                <w:snapToGrid w:val="0"/>
                <w:kern w:val="0"/>
                <w:sz w:val="18"/>
                <w:szCs w:val="18"/>
              </w:rPr>
              <w:t>Add:accrued</w:t>
            </w:r>
            <w:proofErr w:type="spellEnd"/>
            <w:proofErr w:type="gramEnd"/>
            <w:r>
              <w:rPr>
                <w:rFonts w:ascii="Times New Roman" w:eastAsia="宋体" w:hAnsi="Times New Roman" w:cs="Times New Roman" w:hint="eastAsia"/>
                <w:snapToGrid w:val="0"/>
                <w:kern w:val="0"/>
                <w:sz w:val="18"/>
                <w:szCs w:val="18"/>
              </w:rPr>
              <w:t xml:space="preserve"> Interest</w:t>
            </w:r>
          </w:p>
        </w:tc>
        <w:tc>
          <w:tcPr>
            <w:tcW w:w="1836" w:type="dxa"/>
            <w:tcBorders>
              <w:tl2br w:val="nil"/>
              <w:tr2bl w:val="nil"/>
            </w:tcBorders>
            <w:shd w:val="clear" w:color="auto" w:fill="auto"/>
            <w:vAlign w:val="center"/>
          </w:tcPr>
          <w:p w:rsidR="000B609E" w:rsidRDefault="00B220E1">
            <w:pPr>
              <w:spacing w:afterLines="0" w:after="0"/>
              <w:ind w:firstLine="400"/>
              <w:jc w:val="right"/>
              <w:textAlignment w:val="bottom"/>
              <w:rPr>
                <w:rFonts w:ascii="Arial Narrow" w:hAnsi="Arial Narrow" w:cs="Arial Narrow"/>
                <w:b/>
                <w:bCs/>
                <w:color w:val="000000"/>
                <w:kern w:val="0"/>
                <w:sz w:val="20"/>
                <w:szCs w:val="20"/>
              </w:rPr>
            </w:pPr>
            <w:r>
              <w:rPr>
                <w:rFonts w:ascii="Arial Narrow" w:hAnsi="Arial Narrow"/>
                <w:bCs/>
                <w:color w:val="000000"/>
                <w:kern w:val="0"/>
                <w:sz w:val="20"/>
                <w:szCs w:val="20"/>
              </w:rPr>
              <w:t xml:space="preserve">-   </w:t>
            </w:r>
          </w:p>
        </w:tc>
        <w:tc>
          <w:tcPr>
            <w:tcW w:w="2075" w:type="dxa"/>
            <w:tcBorders>
              <w:tl2br w:val="nil"/>
              <w:tr2bl w:val="nil"/>
            </w:tcBorders>
            <w:shd w:val="clear" w:color="auto" w:fill="auto"/>
            <w:vAlign w:val="center"/>
          </w:tcPr>
          <w:p w:rsidR="000B609E" w:rsidRDefault="00DF783A">
            <w:pPr>
              <w:spacing w:afterLines="0" w:after="0"/>
              <w:ind w:firstLine="400"/>
              <w:jc w:val="right"/>
              <w:textAlignment w:val="bottom"/>
              <w:rPr>
                <w:rFonts w:ascii="Arial Narrow" w:hAnsi="Arial Narrow"/>
                <w:bCs/>
                <w:color w:val="000000"/>
                <w:kern w:val="0"/>
                <w:sz w:val="20"/>
                <w:szCs w:val="20"/>
              </w:rPr>
            </w:pPr>
            <w:r>
              <w:rPr>
                <w:rFonts w:ascii="Arial Narrow" w:hAnsi="Arial Narrow" w:hint="eastAsia"/>
                <w:bCs/>
                <w:color w:val="000000"/>
                <w:kern w:val="0"/>
                <w:sz w:val="20"/>
                <w:szCs w:val="20"/>
              </w:rPr>
              <w:t>-</w:t>
            </w:r>
          </w:p>
        </w:tc>
        <w:tc>
          <w:tcPr>
            <w:tcW w:w="1675" w:type="dxa"/>
            <w:tcBorders>
              <w:tl2br w:val="nil"/>
              <w:tr2bl w:val="nil"/>
            </w:tcBorders>
            <w:shd w:val="clear" w:color="auto" w:fill="auto"/>
            <w:vAlign w:val="center"/>
          </w:tcPr>
          <w:p w:rsidR="000B609E" w:rsidRDefault="00B220E1">
            <w:pPr>
              <w:spacing w:afterLines="0" w:after="0"/>
              <w:ind w:firstLine="400"/>
              <w:jc w:val="right"/>
              <w:textAlignment w:val="bottom"/>
              <w:rPr>
                <w:rFonts w:ascii="Arial Narrow" w:hAnsi="Arial Narrow" w:cs="Arial Narrow"/>
                <w:b/>
                <w:bCs/>
                <w:color w:val="000000"/>
                <w:kern w:val="0"/>
                <w:sz w:val="20"/>
                <w:szCs w:val="20"/>
              </w:rPr>
            </w:pPr>
            <w:r>
              <w:rPr>
                <w:rFonts w:ascii="Arial Narrow" w:hAnsi="Arial Narrow"/>
                <w:bCs/>
                <w:color w:val="000000"/>
                <w:kern w:val="0"/>
                <w:sz w:val="20"/>
                <w:szCs w:val="20"/>
              </w:rPr>
              <w:t xml:space="preserve">-   </w:t>
            </w:r>
          </w:p>
        </w:tc>
        <w:tc>
          <w:tcPr>
            <w:tcW w:w="2091" w:type="dxa"/>
            <w:tcBorders>
              <w:tl2br w:val="nil"/>
              <w:tr2bl w:val="nil"/>
            </w:tcBorders>
            <w:shd w:val="clear" w:color="auto" w:fill="auto"/>
            <w:vAlign w:val="center"/>
          </w:tcPr>
          <w:p w:rsidR="000B609E" w:rsidRDefault="00DF783A">
            <w:pPr>
              <w:spacing w:afterLines="0" w:after="0"/>
              <w:ind w:firstLine="400"/>
              <w:jc w:val="right"/>
              <w:textAlignment w:val="bottom"/>
              <w:rPr>
                <w:rFonts w:ascii="Arial Narrow" w:hAnsi="Arial Narrow"/>
                <w:bCs/>
                <w:color w:val="000000"/>
                <w:kern w:val="0"/>
                <w:sz w:val="20"/>
                <w:szCs w:val="20"/>
              </w:rPr>
            </w:pPr>
            <w:r>
              <w:rPr>
                <w:rFonts w:ascii="Arial Narrow" w:hAnsi="Arial Narrow" w:hint="eastAsia"/>
                <w:bCs/>
                <w:color w:val="000000"/>
                <w:kern w:val="0"/>
                <w:sz w:val="20"/>
                <w:szCs w:val="20"/>
              </w:rPr>
              <w:t>-</w:t>
            </w:r>
          </w:p>
        </w:tc>
      </w:tr>
      <w:tr w:rsidR="000B609E">
        <w:trPr>
          <w:trHeight w:hRule="exact" w:val="454"/>
        </w:trPr>
        <w:tc>
          <w:tcPr>
            <w:tcW w:w="2595" w:type="dxa"/>
            <w:tcBorders>
              <w:tl2br w:val="nil"/>
              <w:tr2bl w:val="nil"/>
            </w:tcBorders>
            <w:shd w:val="clear" w:color="auto" w:fill="auto"/>
            <w:vAlign w:val="center"/>
          </w:tcPr>
          <w:p w:rsidR="000B609E" w:rsidRDefault="00B220E1">
            <w:pPr>
              <w:spacing w:afterLines="0" w:after="0"/>
              <w:ind w:firstLineChars="0" w:firstLine="0"/>
              <w:jc w:val="center"/>
              <w:rPr>
                <w:rFonts w:ascii="Arial" w:hAnsi="Arial" w:cs="Arial"/>
                <w:b/>
                <w:color w:val="000000"/>
                <w:sz w:val="18"/>
                <w:szCs w:val="18"/>
              </w:rPr>
            </w:pPr>
            <w:r>
              <w:rPr>
                <w:rFonts w:ascii="Times New Roman" w:eastAsia="宋体" w:hAnsi="Times New Roman" w:cs="Times New Roman" w:hint="eastAsia"/>
                <w:b/>
                <w:bCs/>
                <w:color w:val="000000"/>
                <w:kern w:val="0"/>
                <w:sz w:val="18"/>
                <w:szCs w:val="18"/>
              </w:rPr>
              <w:t>Total</w:t>
            </w:r>
          </w:p>
        </w:tc>
        <w:tc>
          <w:tcPr>
            <w:tcW w:w="1836" w:type="dxa"/>
            <w:tcBorders>
              <w:tl2br w:val="nil"/>
              <w:tr2bl w:val="nil"/>
            </w:tcBorders>
            <w:shd w:val="clear" w:color="auto" w:fill="auto"/>
            <w:vAlign w:val="center"/>
          </w:tcPr>
          <w:p w:rsidR="000B609E" w:rsidRPr="00E37440"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sidRPr="00E37440">
              <w:rPr>
                <w:rFonts w:ascii="Arial Narrow" w:hAnsi="Arial Narrow"/>
                <w:b/>
                <w:bCs/>
                <w:color w:val="000000"/>
                <w:kern w:val="0"/>
                <w:sz w:val="20"/>
                <w:szCs w:val="20"/>
              </w:rPr>
              <w:t xml:space="preserve">-   </w:t>
            </w:r>
          </w:p>
        </w:tc>
        <w:tc>
          <w:tcPr>
            <w:tcW w:w="2075" w:type="dxa"/>
            <w:tcBorders>
              <w:tl2br w:val="nil"/>
              <w:tr2bl w:val="nil"/>
            </w:tcBorders>
            <w:shd w:val="clear" w:color="auto" w:fill="auto"/>
            <w:vAlign w:val="center"/>
          </w:tcPr>
          <w:p w:rsidR="000B609E" w:rsidRPr="00E37440" w:rsidRDefault="00B220E1">
            <w:pPr>
              <w:spacing w:afterLines="0" w:after="0"/>
              <w:ind w:firstLineChars="0" w:firstLine="0"/>
              <w:jc w:val="right"/>
              <w:rPr>
                <w:rFonts w:ascii="Arial Narrow" w:hAnsi="Arial Narrow"/>
                <w:b/>
                <w:bCs/>
                <w:color w:val="000000"/>
                <w:kern w:val="0"/>
                <w:sz w:val="20"/>
                <w:szCs w:val="20"/>
              </w:rPr>
            </w:pPr>
            <w:r w:rsidRPr="00E37440">
              <w:rPr>
                <w:rFonts w:ascii="Arial Narrow" w:hAnsi="Arial Narrow" w:cs="Arial Narrow" w:hint="eastAsia"/>
                <w:b/>
                <w:color w:val="000000"/>
                <w:kern w:val="0"/>
                <w:sz w:val="20"/>
                <w:szCs w:val="20"/>
              </w:rPr>
              <w:t xml:space="preserve"> 50,000,000.00 </w:t>
            </w:r>
          </w:p>
        </w:tc>
        <w:tc>
          <w:tcPr>
            <w:tcW w:w="1675" w:type="dxa"/>
            <w:tcBorders>
              <w:tl2br w:val="nil"/>
              <w:tr2bl w:val="nil"/>
            </w:tcBorders>
            <w:shd w:val="clear" w:color="auto" w:fill="auto"/>
            <w:vAlign w:val="center"/>
          </w:tcPr>
          <w:p w:rsidR="000B609E" w:rsidRPr="00E37440"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sidRPr="00E37440">
              <w:rPr>
                <w:rFonts w:ascii="Arial Narrow" w:hAnsi="Arial Narrow"/>
                <w:b/>
                <w:color w:val="000000"/>
                <w:kern w:val="0"/>
                <w:sz w:val="20"/>
                <w:szCs w:val="20"/>
              </w:rPr>
              <w:t xml:space="preserve">-   </w:t>
            </w:r>
          </w:p>
        </w:tc>
        <w:tc>
          <w:tcPr>
            <w:tcW w:w="2091" w:type="dxa"/>
            <w:tcBorders>
              <w:tl2br w:val="nil"/>
              <w:tr2bl w:val="nil"/>
            </w:tcBorders>
            <w:shd w:val="clear" w:color="auto" w:fill="auto"/>
            <w:vAlign w:val="center"/>
          </w:tcPr>
          <w:p w:rsidR="000B609E" w:rsidRPr="00E37440" w:rsidRDefault="00B220E1">
            <w:pPr>
              <w:spacing w:afterLines="0" w:after="0"/>
              <w:ind w:firstLineChars="0" w:firstLine="0"/>
              <w:jc w:val="right"/>
              <w:rPr>
                <w:rFonts w:ascii="Arial Narrow" w:hAnsi="Arial Narrow"/>
                <w:b/>
                <w:color w:val="000000"/>
                <w:kern w:val="0"/>
                <w:sz w:val="20"/>
                <w:szCs w:val="20"/>
              </w:rPr>
            </w:pPr>
            <w:r w:rsidRPr="00E37440">
              <w:rPr>
                <w:rFonts w:ascii="Arial Narrow" w:hAnsi="Arial Narrow" w:cs="Arial Narrow" w:hint="eastAsia"/>
                <w:b/>
                <w:color w:val="000000"/>
                <w:kern w:val="0"/>
                <w:sz w:val="20"/>
                <w:szCs w:val="20"/>
              </w:rPr>
              <w:t xml:space="preserve"> 50,000,000.00 </w:t>
            </w:r>
          </w:p>
        </w:tc>
      </w:tr>
    </w:tbl>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7. Debt investments</w:t>
      </w:r>
    </w:p>
    <w:tbl>
      <w:tblPr>
        <w:tblW w:w="10296" w:type="dxa"/>
        <w:tblInd w:w="-913" w:type="dxa"/>
        <w:tblBorders>
          <w:top w:val="double" w:sz="4" w:space="0" w:color="000000"/>
          <w:bottom w:val="double" w:sz="4" w:space="0" w:color="000000"/>
          <w:insideH w:val="single" w:sz="4" w:space="0" w:color="000000"/>
          <w:insideV w:val="single" w:sz="4" w:space="0" w:color="000000"/>
        </w:tblBorders>
        <w:tblLayout w:type="fixed"/>
        <w:tblCellMar>
          <w:left w:w="113" w:type="dxa"/>
          <w:right w:w="113" w:type="dxa"/>
        </w:tblCellMar>
        <w:tblLook w:val="04A0" w:firstRow="1" w:lastRow="0" w:firstColumn="1" w:lastColumn="0" w:noHBand="0" w:noVBand="1"/>
      </w:tblPr>
      <w:tblGrid>
        <w:gridCol w:w="1956"/>
        <w:gridCol w:w="2087"/>
        <w:gridCol w:w="2050"/>
        <w:gridCol w:w="2100"/>
        <w:gridCol w:w="2103"/>
      </w:tblGrid>
      <w:tr w:rsidR="000B609E">
        <w:trPr>
          <w:trHeight w:val="421"/>
          <w:tblHeader/>
        </w:trPr>
        <w:tc>
          <w:tcPr>
            <w:tcW w:w="1956" w:type="dxa"/>
            <w:vMerge w:val="restart"/>
            <w:tcBorders>
              <w:tl2br w:val="nil"/>
              <w:tr2bl w:val="nil"/>
            </w:tcBorders>
            <w:shd w:val="clear" w:color="auto" w:fill="auto"/>
            <w:vAlign w:val="center"/>
          </w:tcPr>
          <w:p w:rsidR="000B609E" w:rsidRDefault="00B220E1">
            <w:pPr>
              <w:spacing w:afterLines="0" w:after="0"/>
              <w:ind w:firstLineChars="0" w:firstLine="0"/>
              <w:jc w:val="center"/>
              <w:textAlignment w:val="center"/>
              <w:rPr>
                <w:rFonts w:ascii="Arial" w:hAnsi="Arial" w:cs="Arial"/>
                <w:b/>
                <w:color w:val="000000"/>
                <w:sz w:val="18"/>
                <w:szCs w:val="18"/>
              </w:rPr>
            </w:pPr>
            <w:r>
              <w:rPr>
                <w:rFonts w:ascii="Times New Roman" w:eastAsia="宋体" w:hAnsi="Times New Roman" w:cs="Times New Roman"/>
                <w:b/>
                <w:bCs/>
                <w:color w:val="000000"/>
                <w:kern w:val="0"/>
                <w:sz w:val="18"/>
                <w:szCs w:val="18"/>
              </w:rPr>
              <w:t>Items</w:t>
            </w:r>
          </w:p>
        </w:tc>
        <w:tc>
          <w:tcPr>
            <w:tcW w:w="4137" w:type="dxa"/>
            <w:gridSpan w:val="2"/>
            <w:tcBorders>
              <w:tl2br w:val="nil"/>
              <w:tr2bl w:val="nil"/>
            </w:tcBorders>
            <w:shd w:val="clear" w:color="auto" w:fill="auto"/>
            <w:vAlign w:val="center"/>
          </w:tcPr>
          <w:p w:rsidR="000B609E" w:rsidRDefault="00B220E1">
            <w:pPr>
              <w:spacing w:afterLines="0" w:after="0"/>
              <w:ind w:firstLine="361"/>
              <w:jc w:val="center"/>
              <w:textAlignment w:val="center"/>
              <w:rPr>
                <w:rFonts w:ascii="宋体" w:hAnsi="宋体" w:cs="宋体"/>
                <w:b/>
                <w:color w:val="000000"/>
                <w:sz w:val="18"/>
                <w:szCs w:val="18"/>
              </w:rPr>
            </w:pPr>
            <w:r>
              <w:rPr>
                <w:rFonts w:ascii="Times New Roman" w:eastAsia="宋体" w:hAnsi="Times New Roman" w:cs="Times New Roman"/>
                <w:b/>
                <w:bCs/>
                <w:color w:val="000000"/>
                <w:kern w:val="0"/>
                <w:sz w:val="18"/>
                <w:szCs w:val="18"/>
              </w:rPr>
              <w:t>Group</w:t>
            </w:r>
          </w:p>
        </w:tc>
        <w:tc>
          <w:tcPr>
            <w:tcW w:w="4203" w:type="dxa"/>
            <w:gridSpan w:val="2"/>
            <w:tcBorders>
              <w:tl2br w:val="nil"/>
              <w:tr2bl w:val="nil"/>
            </w:tcBorders>
            <w:shd w:val="clear" w:color="auto" w:fill="auto"/>
            <w:vAlign w:val="center"/>
          </w:tcPr>
          <w:p w:rsidR="000B609E" w:rsidRDefault="00B220E1">
            <w:pPr>
              <w:spacing w:afterLines="0" w:after="0"/>
              <w:ind w:firstLine="361"/>
              <w:jc w:val="center"/>
              <w:textAlignment w:val="center"/>
              <w:rPr>
                <w:rFonts w:ascii="宋体" w:hAnsi="宋体" w:cs="宋体"/>
                <w:b/>
                <w:color w:val="000000"/>
                <w:sz w:val="18"/>
                <w:szCs w:val="18"/>
              </w:rPr>
            </w:pPr>
            <w:r>
              <w:rPr>
                <w:rFonts w:ascii="Times New Roman" w:eastAsia="宋体" w:hAnsi="Times New Roman" w:cs="Times New Roman"/>
                <w:b/>
                <w:kern w:val="0"/>
                <w:sz w:val="18"/>
                <w:szCs w:val="18"/>
              </w:rPr>
              <w:t>Bank</w:t>
            </w:r>
          </w:p>
        </w:tc>
      </w:tr>
      <w:tr w:rsidR="000B609E">
        <w:trPr>
          <w:trHeight w:val="421"/>
          <w:tblHeader/>
        </w:trPr>
        <w:tc>
          <w:tcPr>
            <w:tcW w:w="1956" w:type="dxa"/>
            <w:vMerge/>
            <w:tcBorders>
              <w:tl2br w:val="nil"/>
              <w:tr2bl w:val="nil"/>
            </w:tcBorders>
            <w:shd w:val="clear" w:color="auto" w:fill="auto"/>
            <w:vAlign w:val="center"/>
          </w:tcPr>
          <w:p w:rsidR="000B609E" w:rsidRDefault="000B609E">
            <w:pPr>
              <w:spacing w:afterLines="0" w:after="0"/>
              <w:ind w:firstLine="361"/>
              <w:jc w:val="center"/>
              <w:rPr>
                <w:rFonts w:ascii="Arial" w:hAnsi="Arial" w:cs="Arial"/>
                <w:b/>
                <w:color w:val="000000"/>
                <w:sz w:val="18"/>
                <w:szCs w:val="18"/>
              </w:rPr>
            </w:pPr>
          </w:p>
        </w:tc>
        <w:tc>
          <w:tcPr>
            <w:tcW w:w="2087" w:type="dxa"/>
            <w:tcBorders>
              <w:tl2br w:val="nil"/>
              <w:tr2bl w:val="nil"/>
            </w:tcBorders>
            <w:shd w:val="clear" w:color="auto" w:fill="auto"/>
            <w:vAlign w:val="center"/>
          </w:tcPr>
          <w:p w:rsidR="000B609E" w:rsidRDefault="00B220E1">
            <w:pPr>
              <w:spacing w:afterLines="0" w:after="0"/>
              <w:ind w:firstLine="361"/>
              <w:jc w:val="center"/>
              <w:textAlignment w:val="center"/>
              <w:rPr>
                <w:rFonts w:ascii="宋体" w:hAnsi="宋体" w:cs="宋体"/>
                <w:color w:val="00000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2050" w:type="dxa"/>
            <w:tcBorders>
              <w:tl2br w:val="nil"/>
              <w:tr2bl w:val="nil"/>
            </w:tcBorders>
            <w:shd w:val="clear" w:color="auto" w:fill="auto"/>
            <w:vAlign w:val="center"/>
          </w:tcPr>
          <w:p w:rsidR="000B609E" w:rsidRDefault="00B220E1">
            <w:pPr>
              <w:spacing w:afterLines="0" w:after="0"/>
              <w:ind w:firstLine="361"/>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2019-12-31</w:t>
            </w:r>
          </w:p>
        </w:tc>
        <w:tc>
          <w:tcPr>
            <w:tcW w:w="2100" w:type="dxa"/>
            <w:tcBorders>
              <w:tl2br w:val="nil"/>
              <w:tr2bl w:val="nil"/>
            </w:tcBorders>
            <w:shd w:val="clear" w:color="auto" w:fill="auto"/>
            <w:vAlign w:val="center"/>
          </w:tcPr>
          <w:p w:rsidR="000B609E" w:rsidRDefault="00B220E1">
            <w:pPr>
              <w:spacing w:afterLines="0" w:after="0"/>
              <w:ind w:firstLine="361"/>
              <w:jc w:val="center"/>
              <w:textAlignment w:val="center"/>
              <w:rPr>
                <w:rFonts w:ascii="宋体" w:hAnsi="宋体" w:cs="宋体"/>
                <w:color w:val="00000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2103" w:type="dxa"/>
            <w:tcBorders>
              <w:tl2br w:val="nil"/>
              <w:tr2bl w:val="nil"/>
            </w:tcBorders>
            <w:shd w:val="clear" w:color="auto" w:fill="auto"/>
            <w:vAlign w:val="center"/>
          </w:tcPr>
          <w:p w:rsidR="000B609E" w:rsidRDefault="00B220E1">
            <w:pPr>
              <w:spacing w:afterLines="0" w:after="0"/>
              <w:ind w:firstLine="361"/>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2019-12-31</w:t>
            </w:r>
          </w:p>
        </w:tc>
      </w:tr>
      <w:tr w:rsidR="000B609E">
        <w:trPr>
          <w:trHeight w:hRule="exact" w:val="716"/>
        </w:trPr>
        <w:tc>
          <w:tcPr>
            <w:tcW w:w="1956" w:type="dxa"/>
            <w:tcBorders>
              <w:tl2br w:val="nil"/>
              <w:tr2bl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Government bonds</w:t>
            </w:r>
          </w:p>
        </w:tc>
        <w:tc>
          <w:tcPr>
            <w:tcW w:w="2087"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1,833,326,881.96</w:t>
            </w:r>
          </w:p>
        </w:tc>
        <w:tc>
          <w:tcPr>
            <w:tcW w:w="20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lang w:val="en-GB"/>
              </w:rPr>
              <w:t xml:space="preserve"> 2,393,311,937.81</w:t>
            </w:r>
          </w:p>
        </w:tc>
        <w:tc>
          <w:tcPr>
            <w:tcW w:w="210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1,833,326,881.96</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 xml:space="preserve"> 2,393,311,937.81</w:t>
            </w:r>
          </w:p>
        </w:tc>
      </w:tr>
      <w:tr w:rsidR="000B609E">
        <w:trPr>
          <w:trHeight w:hRule="exact" w:val="907"/>
        </w:trPr>
        <w:tc>
          <w:tcPr>
            <w:tcW w:w="1956" w:type="dxa"/>
            <w:tcBorders>
              <w:tl2br w:val="nil"/>
              <w:tr2bl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Bonds issued by financial institutions</w:t>
            </w:r>
          </w:p>
        </w:tc>
        <w:tc>
          <w:tcPr>
            <w:tcW w:w="2087"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3,435,731,373.71</w:t>
            </w:r>
          </w:p>
        </w:tc>
        <w:tc>
          <w:tcPr>
            <w:tcW w:w="20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1,484,891,204.67</w:t>
            </w:r>
          </w:p>
        </w:tc>
        <w:tc>
          <w:tcPr>
            <w:tcW w:w="210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3,435,731,373.71</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 xml:space="preserve"> 1,484,891,204.67 </w:t>
            </w:r>
          </w:p>
        </w:tc>
      </w:tr>
      <w:tr w:rsidR="000B609E">
        <w:trPr>
          <w:trHeight w:hRule="exact" w:val="454"/>
        </w:trPr>
        <w:tc>
          <w:tcPr>
            <w:tcW w:w="1956" w:type="dxa"/>
            <w:tcBorders>
              <w:tl2br w:val="nil"/>
              <w:tr2bl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Corporate bonds</w:t>
            </w:r>
          </w:p>
        </w:tc>
        <w:tc>
          <w:tcPr>
            <w:tcW w:w="2087"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109,843,811.92</w:t>
            </w:r>
          </w:p>
        </w:tc>
        <w:tc>
          <w:tcPr>
            <w:tcW w:w="20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 xml:space="preserve"> 9,999,287.87</w:t>
            </w:r>
          </w:p>
        </w:tc>
        <w:tc>
          <w:tcPr>
            <w:tcW w:w="210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109,843,811.92</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 xml:space="preserve"> 9,999,287.87 </w:t>
            </w:r>
          </w:p>
        </w:tc>
      </w:tr>
      <w:tr w:rsidR="000B609E">
        <w:trPr>
          <w:trHeight w:hRule="exact" w:val="907"/>
        </w:trPr>
        <w:tc>
          <w:tcPr>
            <w:tcW w:w="1956" w:type="dxa"/>
            <w:tcBorders>
              <w:tl2br w:val="nil"/>
              <w:tr2bl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Deposit certificates issued by other financial institutions</w:t>
            </w:r>
          </w:p>
        </w:tc>
        <w:tc>
          <w:tcPr>
            <w:tcW w:w="2087"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3,227,588,782.08</w:t>
            </w:r>
          </w:p>
        </w:tc>
        <w:tc>
          <w:tcPr>
            <w:tcW w:w="20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 xml:space="preserve"> 1,886,654,520.06 </w:t>
            </w:r>
          </w:p>
        </w:tc>
        <w:tc>
          <w:tcPr>
            <w:tcW w:w="210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3,227,588,782.08</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 xml:space="preserve"> 1,886,654,520.06</w:t>
            </w:r>
          </w:p>
        </w:tc>
      </w:tr>
      <w:tr w:rsidR="000B609E">
        <w:trPr>
          <w:trHeight w:hRule="exact" w:val="907"/>
        </w:trPr>
        <w:tc>
          <w:tcPr>
            <w:tcW w:w="1956" w:type="dxa"/>
            <w:tcBorders>
              <w:tl2br w:val="nil"/>
              <w:tr2bl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Local Treasury Bonds</w:t>
            </w:r>
          </w:p>
        </w:tc>
        <w:tc>
          <w:tcPr>
            <w:tcW w:w="2087"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bCs/>
                <w:color w:val="000000"/>
                <w:kern w:val="0"/>
                <w:sz w:val="20"/>
                <w:szCs w:val="20"/>
              </w:rPr>
              <w:t>513,613,690.09</w:t>
            </w:r>
          </w:p>
        </w:tc>
        <w:tc>
          <w:tcPr>
            <w:tcW w:w="2050" w:type="dxa"/>
            <w:tcBorders>
              <w:tl2br w:val="nil"/>
              <w:tr2bl w:val="nil"/>
            </w:tcBorders>
            <w:shd w:val="clear" w:color="auto" w:fill="auto"/>
            <w:vAlign w:val="center"/>
          </w:tcPr>
          <w:p w:rsidR="000B609E" w:rsidRDefault="00DF783A">
            <w:pPr>
              <w:spacing w:afterLines="0" w:after="0"/>
              <w:ind w:firstLineChars="0" w:firstLine="0"/>
              <w:jc w:val="right"/>
              <w:rPr>
                <w:rFonts w:ascii="Arial Narrow" w:hAnsi="Arial Narrow"/>
                <w:bCs/>
                <w:color w:val="000000"/>
                <w:kern w:val="0"/>
                <w:sz w:val="20"/>
                <w:szCs w:val="20"/>
              </w:rPr>
            </w:pPr>
            <w:r>
              <w:rPr>
                <w:rFonts w:ascii="Arial Narrow" w:hAnsi="Arial Narrow" w:hint="eastAsia"/>
                <w:bCs/>
                <w:color w:val="000000"/>
                <w:kern w:val="0"/>
                <w:sz w:val="20"/>
                <w:szCs w:val="20"/>
              </w:rPr>
              <w:t>-</w:t>
            </w:r>
          </w:p>
        </w:tc>
        <w:tc>
          <w:tcPr>
            <w:tcW w:w="210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bCs/>
                <w:color w:val="000000"/>
                <w:kern w:val="0"/>
                <w:sz w:val="20"/>
                <w:szCs w:val="20"/>
              </w:rPr>
              <w:t>513,613,690.09</w:t>
            </w:r>
          </w:p>
        </w:tc>
        <w:tc>
          <w:tcPr>
            <w:tcW w:w="2103" w:type="dxa"/>
            <w:tcBorders>
              <w:tl2br w:val="nil"/>
              <w:tr2bl w:val="nil"/>
            </w:tcBorders>
            <w:shd w:val="clear" w:color="auto" w:fill="auto"/>
            <w:vAlign w:val="center"/>
          </w:tcPr>
          <w:p w:rsidR="000B609E" w:rsidRDefault="00DF783A">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w:t>
            </w:r>
          </w:p>
        </w:tc>
      </w:tr>
      <w:tr w:rsidR="000B609E">
        <w:trPr>
          <w:trHeight w:hRule="exact" w:val="454"/>
        </w:trPr>
        <w:tc>
          <w:tcPr>
            <w:tcW w:w="1956" w:type="dxa"/>
            <w:tcBorders>
              <w:tl2br w:val="nil"/>
              <w:tr2bl w:val="nil"/>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lastRenderedPageBreak/>
              <w:t>Subtotal</w:t>
            </w:r>
          </w:p>
        </w:tc>
        <w:tc>
          <w:tcPr>
            <w:tcW w:w="2087" w:type="dxa"/>
            <w:tcBorders>
              <w:tl2br w:val="nil"/>
              <w:tr2bl w:val="nil"/>
            </w:tcBorders>
            <w:shd w:val="clear" w:color="auto" w:fill="auto"/>
            <w:vAlign w:val="center"/>
          </w:tcPr>
          <w:p w:rsidR="000B609E" w:rsidRDefault="00B220E1">
            <w:pPr>
              <w:spacing w:afterLines="0" w:after="0"/>
              <w:ind w:firstLine="402"/>
              <w:jc w:val="right"/>
              <w:textAlignment w:val="bottom"/>
              <w:rPr>
                <w:rFonts w:ascii="Arial Narrow" w:hAnsi="Arial Narrow" w:cs="Arial Narrow"/>
                <w:b/>
                <w:bCs/>
                <w:color w:val="000000"/>
                <w:kern w:val="0"/>
                <w:sz w:val="20"/>
                <w:szCs w:val="20"/>
              </w:rPr>
            </w:pPr>
            <w:r>
              <w:rPr>
                <w:rFonts w:ascii="Arial Narrow" w:hAnsi="Arial Narrow"/>
                <w:b/>
                <w:bCs/>
                <w:color w:val="000000"/>
                <w:kern w:val="0"/>
                <w:sz w:val="20"/>
                <w:szCs w:val="20"/>
              </w:rPr>
              <w:t>9,120,104,539.76</w:t>
            </w:r>
          </w:p>
        </w:tc>
        <w:tc>
          <w:tcPr>
            <w:tcW w:w="2050" w:type="dxa"/>
            <w:tcBorders>
              <w:tl2br w:val="nil"/>
              <w:tr2bl w:val="nil"/>
            </w:tcBorders>
            <w:shd w:val="clear" w:color="auto" w:fill="auto"/>
            <w:vAlign w:val="center"/>
          </w:tcPr>
          <w:p w:rsidR="000B609E" w:rsidRDefault="00B220E1">
            <w:pPr>
              <w:spacing w:afterLines="0" w:after="0"/>
              <w:ind w:firstLine="402"/>
              <w:jc w:val="right"/>
              <w:textAlignment w:val="bottom"/>
              <w:rPr>
                <w:rFonts w:ascii="Arial Narrow" w:hAnsi="Arial Narrow"/>
                <w:b/>
                <w:bCs/>
                <w:color w:val="000000"/>
                <w:kern w:val="0"/>
                <w:sz w:val="20"/>
                <w:szCs w:val="20"/>
              </w:rPr>
            </w:pPr>
            <w:r>
              <w:rPr>
                <w:rFonts w:ascii="Arial Narrow" w:hAnsi="Arial Narrow" w:hint="eastAsia"/>
                <w:b/>
                <w:bCs/>
                <w:color w:val="000000"/>
                <w:kern w:val="0"/>
                <w:sz w:val="20"/>
                <w:szCs w:val="20"/>
              </w:rPr>
              <w:t>5,774,856,950.41</w:t>
            </w:r>
          </w:p>
        </w:tc>
        <w:tc>
          <w:tcPr>
            <w:tcW w:w="2100" w:type="dxa"/>
            <w:tcBorders>
              <w:tl2br w:val="nil"/>
              <w:tr2bl w:val="nil"/>
            </w:tcBorders>
            <w:shd w:val="clear" w:color="auto" w:fill="auto"/>
            <w:vAlign w:val="center"/>
          </w:tcPr>
          <w:p w:rsidR="000B609E" w:rsidRDefault="00B220E1">
            <w:pPr>
              <w:spacing w:afterLines="0" w:after="0"/>
              <w:ind w:firstLine="402"/>
              <w:jc w:val="right"/>
              <w:textAlignment w:val="bottom"/>
              <w:rPr>
                <w:rFonts w:ascii="Arial Narrow" w:hAnsi="Arial Narrow" w:cs="Arial Narrow"/>
                <w:b/>
                <w:bCs/>
                <w:color w:val="000000"/>
                <w:kern w:val="0"/>
                <w:sz w:val="20"/>
                <w:szCs w:val="20"/>
              </w:rPr>
            </w:pPr>
            <w:r>
              <w:rPr>
                <w:rFonts w:ascii="Arial Narrow" w:hAnsi="Arial Narrow"/>
                <w:b/>
                <w:bCs/>
                <w:color w:val="000000"/>
                <w:kern w:val="0"/>
                <w:sz w:val="20"/>
                <w:szCs w:val="20"/>
              </w:rPr>
              <w:t>9,120,104,539.76</w:t>
            </w:r>
          </w:p>
        </w:tc>
        <w:tc>
          <w:tcPr>
            <w:tcW w:w="2103" w:type="dxa"/>
            <w:tcBorders>
              <w:tl2br w:val="nil"/>
              <w:tr2bl w:val="nil"/>
            </w:tcBorders>
            <w:shd w:val="clear" w:color="auto" w:fill="auto"/>
            <w:vAlign w:val="center"/>
          </w:tcPr>
          <w:p w:rsidR="000B609E" w:rsidRDefault="00B220E1">
            <w:pPr>
              <w:spacing w:afterLines="0" w:after="0"/>
              <w:ind w:firstLine="402"/>
              <w:jc w:val="right"/>
              <w:textAlignment w:val="bottom"/>
              <w:rPr>
                <w:rFonts w:ascii="Arial Narrow" w:hAnsi="Arial Narrow"/>
                <w:b/>
                <w:bCs/>
                <w:color w:val="000000"/>
                <w:kern w:val="0"/>
                <w:sz w:val="20"/>
                <w:szCs w:val="20"/>
              </w:rPr>
            </w:pPr>
            <w:r>
              <w:rPr>
                <w:rFonts w:ascii="Arial Narrow" w:hAnsi="Arial Narrow" w:hint="eastAsia"/>
                <w:b/>
                <w:bCs/>
                <w:color w:val="000000"/>
                <w:kern w:val="0"/>
                <w:sz w:val="20"/>
                <w:szCs w:val="20"/>
              </w:rPr>
              <w:t>5,774,856,950.41</w:t>
            </w:r>
          </w:p>
        </w:tc>
      </w:tr>
      <w:tr w:rsidR="000B609E">
        <w:trPr>
          <w:trHeight w:hRule="exact" w:val="454"/>
        </w:trPr>
        <w:tc>
          <w:tcPr>
            <w:tcW w:w="1956" w:type="dxa"/>
            <w:tcBorders>
              <w:tl2br w:val="nil"/>
              <w:tr2bl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proofErr w:type="spellStart"/>
            <w:proofErr w:type="gramStart"/>
            <w:r>
              <w:rPr>
                <w:rFonts w:ascii="Times New Roman" w:eastAsia="宋体" w:hAnsi="Times New Roman" w:cs="Times New Roman" w:hint="eastAsia"/>
                <w:snapToGrid w:val="0"/>
                <w:kern w:val="0"/>
                <w:sz w:val="18"/>
                <w:szCs w:val="18"/>
              </w:rPr>
              <w:t>Add:accrued</w:t>
            </w:r>
            <w:proofErr w:type="spellEnd"/>
            <w:proofErr w:type="gramEnd"/>
            <w:r>
              <w:rPr>
                <w:rFonts w:ascii="Times New Roman" w:eastAsia="宋体" w:hAnsi="Times New Roman" w:cs="Times New Roman" w:hint="eastAsia"/>
                <w:snapToGrid w:val="0"/>
                <w:kern w:val="0"/>
                <w:sz w:val="18"/>
                <w:szCs w:val="18"/>
              </w:rPr>
              <w:t xml:space="preserve"> Interest</w:t>
            </w:r>
          </w:p>
        </w:tc>
        <w:tc>
          <w:tcPr>
            <w:tcW w:w="2087"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84,794,598.90</w:t>
            </w:r>
          </w:p>
        </w:tc>
        <w:tc>
          <w:tcPr>
            <w:tcW w:w="20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 xml:space="preserve"> 73,751,701.18</w:t>
            </w:r>
          </w:p>
        </w:tc>
        <w:tc>
          <w:tcPr>
            <w:tcW w:w="210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84,794,598.90</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 xml:space="preserve"> 73,751,701.18</w:t>
            </w:r>
          </w:p>
        </w:tc>
      </w:tr>
      <w:tr w:rsidR="000B609E">
        <w:trPr>
          <w:trHeight w:hRule="exact" w:val="596"/>
        </w:trPr>
        <w:tc>
          <w:tcPr>
            <w:tcW w:w="1956" w:type="dxa"/>
            <w:tcBorders>
              <w:tl2br w:val="nil"/>
              <w:tr2bl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 xml:space="preserve">Minus: impairment allowance </w:t>
            </w:r>
          </w:p>
        </w:tc>
        <w:tc>
          <w:tcPr>
            <w:tcW w:w="2087"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11,653,973.90</w:t>
            </w:r>
          </w:p>
        </w:tc>
        <w:tc>
          <w:tcPr>
            <w:tcW w:w="20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8,508,761.20</w:t>
            </w:r>
          </w:p>
        </w:tc>
        <w:tc>
          <w:tcPr>
            <w:tcW w:w="210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kern w:val="0"/>
                <w:sz w:val="20"/>
                <w:szCs w:val="20"/>
              </w:rPr>
              <w:t>11,653,973.90</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8,508,761.20</w:t>
            </w:r>
          </w:p>
        </w:tc>
      </w:tr>
      <w:tr w:rsidR="000B609E">
        <w:trPr>
          <w:trHeight w:hRule="exact" w:val="454"/>
        </w:trPr>
        <w:tc>
          <w:tcPr>
            <w:tcW w:w="1956" w:type="dxa"/>
            <w:tcBorders>
              <w:tl2br w:val="nil"/>
              <w:tr2bl w:val="nil"/>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Total</w:t>
            </w:r>
          </w:p>
        </w:tc>
        <w:tc>
          <w:tcPr>
            <w:tcW w:w="2087"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kern w:val="0"/>
                <w:sz w:val="20"/>
                <w:szCs w:val="20"/>
              </w:rPr>
              <w:t>9,193,245,164.76</w:t>
            </w:r>
          </w:p>
        </w:tc>
        <w:tc>
          <w:tcPr>
            <w:tcW w:w="205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b/>
                <w:bCs/>
                <w:color w:val="000000"/>
                <w:kern w:val="0"/>
                <w:sz w:val="20"/>
                <w:szCs w:val="20"/>
              </w:rPr>
            </w:pPr>
            <w:r>
              <w:rPr>
                <w:rFonts w:ascii="Arial Narrow" w:hAnsi="Arial Narrow" w:hint="eastAsia"/>
                <w:b/>
                <w:bCs/>
                <w:color w:val="000000"/>
                <w:kern w:val="0"/>
                <w:sz w:val="20"/>
                <w:szCs w:val="20"/>
              </w:rPr>
              <w:t>5,840,099,890.39</w:t>
            </w:r>
          </w:p>
        </w:tc>
        <w:tc>
          <w:tcPr>
            <w:tcW w:w="2100" w:type="dxa"/>
            <w:tcBorders>
              <w:tl2br w:val="nil"/>
              <w:tr2bl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kern w:val="0"/>
                <w:sz w:val="20"/>
                <w:szCs w:val="20"/>
              </w:rPr>
              <w:t>9,193,245,164.76</w:t>
            </w:r>
          </w:p>
        </w:tc>
        <w:tc>
          <w:tcPr>
            <w:tcW w:w="2103" w:type="dxa"/>
            <w:tcBorders>
              <w:tl2br w:val="nil"/>
              <w:tr2bl w:val="nil"/>
            </w:tcBorders>
            <w:shd w:val="clear" w:color="auto" w:fill="auto"/>
            <w:vAlign w:val="center"/>
          </w:tcPr>
          <w:p w:rsidR="000B609E" w:rsidRDefault="00B220E1">
            <w:pPr>
              <w:spacing w:afterLines="0" w:after="0"/>
              <w:ind w:firstLineChars="0" w:firstLine="0"/>
              <w:jc w:val="right"/>
              <w:rPr>
                <w:rFonts w:ascii="Arial Narrow" w:hAnsi="Arial Narrow"/>
                <w:b/>
                <w:bCs/>
                <w:color w:val="000000"/>
                <w:kern w:val="0"/>
                <w:sz w:val="20"/>
                <w:szCs w:val="20"/>
              </w:rPr>
            </w:pPr>
            <w:r>
              <w:rPr>
                <w:rFonts w:ascii="Arial Narrow" w:hAnsi="Arial Narrow" w:hint="eastAsia"/>
                <w:b/>
                <w:bCs/>
                <w:color w:val="000000"/>
                <w:kern w:val="0"/>
                <w:sz w:val="20"/>
                <w:szCs w:val="20"/>
              </w:rPr>
              <w:t>5,840,099,890.39</w:t>
            </w:r>
          </w:p>
        </w:tc>
      </w:tr>
    </w:tbl>
    <w:p w:rsidR="000B609E" w:rsidRDefault="00B220E1">
      <w:pPr>
        <w:pStyle w:val="11"/>
        <w:spacing w:beforeLines="50" w:before="156" w:after="156" w:line="360" w:lineRule="auto"/>
        <w:ind w:firstLine="480"/>
        <w:rPr>
          <w:rFonts w:ascii="Times New Roman" w:hAnsi="Times New Roman" w:cs="Times New Roman"/>
          <w:sz w:val="24"/>
          <w:szCs w:val="24"/>
        </w:rPr>
      </w:pPr>
      <w:proofErr w:type="spellStart"/>
      <w:proofErr w:type="gramStart"/>
      <w:r>
        <w:rPr>
          <w:rFonts w:ascii="Times New Roman" w:hAnsi="Times New Roman" w:cs="Times New Roman" w:hint="eastAsia"/>
          <w:sz w:val="24"/>
          <w:szCs w:val="24"/>
        </w:rPr>
        <w:t>Note:Jiangsu</w:t>
      </w:r>
      <w:proofErr w:type="spellEnd"/>
      <w:proofErr w:type="gramEnd"/>
      <w:r>
        <w:rPr>
          <w:rFonts w:ascii="Times New Roman" w:hAnsi="Times New Roman" w:cs="Times New Roman" w:hint="eastAsia"/>
          <w:sz w:val="24"/>
          <w:szCs w:val="24"/>
        </w:rPr>
        <w:t xml:space="preserve"> Provincial Rural Credit Cooperatives Union, Jiangsu Provincial Department of Finance (2020) No. 172 </w:t>
      </w:r>
      <w:r>
        <w:rPr>
          <w:rFonts w:ascii="Times New Roman" w:hAnsi="Times New Roman" w:cs="Times New Roman"/>
          <w:sz w:val="24"/>
          <w:szCs w:val="24"/>
        </w:rPr>
        <w:t>“</w:t>
      </w:r>
      <w:r>
        <w:rPr>
          <w:rFonts w:ascii="Times New Roman" w:hAnsi="Times New Roman" w:cs="Times New Roman" w:hint="eastAsia"/>
          <w:sz w:val="24"/>
          <w:szCs w:val="24"/>
        </w:rPr>
        <w:t>Notice of Jiangsu Provincial Rural Credit Cooperatives Union, Jiangsu Provincial Department of Finance on Doing a Good Job in the 2020 Accounting Final Accounts of Rural Commercial Banks in the Province</w:t>
      </w:r>
      <w:r>
        <w:rPr>
          <w:rFonts w:ascii="Times New Roman" w:hAnsi="Times New Roman" w:cs="Times New Roman"/>
          <w:sz w:val="24"/>
          <w:szCs w:val="24"/>
        </w:rPr>
        <w:t>”</w:t>
      </w:r>
      <w:r>
        <w:rPr>
          <w:rFonts w:ascii="Times New Roman" w:hAnsi="Times New Roman" w:cs="Times New Roman" w:hint="eastAsia"/>
          <w:sz w:val="24"/>
          <w:szCs w:val="24"/>
        </w:rPr>
        <w:t xml:space="preserve">, for investments in non-financial corporate bonds and special purpose vehicles, provisions shall be made at a ratio of no less than 2.5%. </w:t>
      </w:r>
    </w:p>
    <w:p w:rsidR="000B609E" w:rsidRDefault="00B220E1">
      <w:pPr>
        <w:pStyle w:val="21"/>
        <w:numPr>
          <w:ilvl w:val="0"/>
          <w:numId w:val="2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Other debt investments</w:t>
      </w:r>
    </w:p>
    <w:p w:rsidR="000B609E" w:rsidRDefault="00B220E1">
      <w:pPr>
        <w:numPr>
          <w:ilvl w:val="0"/>
          <w:numId w:val="22"/>
        </w:numPr>
        <w:spacing w:after="156"/>
        <w:ind w:firstLineChars="100" w:firstLine="210"/>
      </w:pPr>
      <w:r>
        <w:rPr>
          <w:rFonts w:hint="eastAsia"/>
        </w:rPr>
        <w:t>Distribution of other debt investments by categories:</w:t>
      </w:r>
    </w:p>
    <w:tbl>
      <w:tblPr>
        <w:tblW w:w="10300" w:type="dxa"/>
        <w:tblInd w:w="-913" w:type="dxa"/>
        <w:tblBorders>
          <w:top w:val="double" w:sz="4" w:space="0" w:color="000000"/>
          <w:bottom w:val="double" w:sz="4" w:space="0" w:color="000000"/>
          <w:insideH w:val="single" w:sz="4" w:space="0" w:color="000000"/>
          <w:insideV w:val="single" w:sz="4" w:space="0" w:color="000000"/>
        </w:tblBorders>
        <w:tblLayout w:type="fixed"/>
        <w:tblCellMar>
          <w:left w:w="113" w:type="dxa"/>
          <w:right w:w="113" w:type="dxa"/>
        </w:tblCellMar>
        <w:tblLook w:val="04A0" w:firstRow="1" w:lastRow="0" w:firstColumn="1" w:lastColumn="0" w:noHBand="0" w:noVBand="1"/>
      </w:tblPr>
      <w:tblGrid>
        <w:gridCol w:w="2608"/>
        <w:gridCol w:w="2160"/>
        <w:gridCol w:w="2118"/>
        <w:gridCol w:w="1995"/>
        <w:gridCol w:w="1419"/>
      </w:tblGrid>
      <w:tr w:rsidR="000B609E">
        <w:trPr>
          <w:trHeight w:val="421"/>
          <w:tblHeader/>
        </w:trPr>
        <w:tc>
          <w:tcPr>
            <w:tcW w:w="2608" w:type="dxa"/>
            <w:vMerge w:val="restart"/>
            <w:tcBorders>
              <w:tl2br w:val="nil"/>
              <w:tr2bl w:val="nil"/>
            </w:tcBorders>
            <w:shd w:val="clear" w:color="auto" w:fill="auto"/>
            <w:vAlign w:val="center"/>
          </w:tcPr>
          <w:p w:rsidR="000B609E" w:rsidRDefault="00B220E1">
            <w:pPr>
              <w:spacing w:afterLines="0" w:after="0"/>
              <w:ind w:firstLineChars="0" w:firstLine="0"/>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Items</w:t>
            </w:r>
          </w:p>
        </w:tc>
        <w:tc>
          <w:tcPr>
            <w:tcW w:w="4278" w:type="dxa"/>
            <w:gridSpan w:val="2"/>
            <w:tcBorders>
              <w:tl2br w:val="nil"/>
              <w:tr2bl w:val="nil"/>
            </w:tcBorders>
            <w:shd w:val="clear" w:color="auto" w:fill="auto"/>
            <w:vAlign w:val="center"/>
          </w:tcPr>
          <w:p w:rsidR="000B609E" w:rsidRDefault="00B220E1">
            <w:pPr>
              <w:spacing w:afterLines="0" w:after="0"/>
              <w:ind w:firstLineChars="0" w:firstLine="0"/>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The Group</w:t>
            </w:r>
          </w:p>
        </w:tc>
        <w:tc>
          <w:tcPr>
            <w:tcW w:w="3414" w:type="dxa"/>
            <w:gridSpan w:val="2"/>
            <w:tcBorders>
              <w:tl2br w:val="nil"/>
              <w:tr2bl w:val="nil"/>
            </w:tcBorders>
            <w:shd w:val="clear" w:color="auto" w:fill="auto"/>
            <w:vAlign w:val="center"/>
          </w:tcPr>
          <w:p w:rsidR="000B609E" w:rsidRDefault="00B220E1">
            <w:pPr>
              <w:spacing w:after="156"/>
              <w:ind w:firstLine="361"/>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The Bank</w:t>
            </w:r>
          </w:p>
        </w:tc>
      </w:tr>
      <w:tr w:rsidR="000B609E">
        <w:trPr>
          <w:trHeight w:val="421"/>
          <w:tblHeader/>
        </w:trPr>
        <w:tc>
          <w:tcPr>
            <w:tcW w:w="2608" w:type="dxa"/>
            <w:vMerge/>
            <w:tcBorders>
              <w:tl2br w:val="nil"/>
              <w:tr2bl w:val="nil"/>
            </w:tcBorders>
            <w:shd w:val="clear" w:color="auto" w:fill="auto"/>
            <w:vAlign w:val="center"/>
          </w:tcPr>
          <w:p w:rsidR="000B609E" w:rsidRDefault="000B609E">
            <w:pPr>
              <w:spacing w:afterLines="0" w:after="0"/>
              <w:ind w:firstLineChars="0" w:firstLine="0"/>
              <w:jc w:val="center"/>
              <w:textAlignment w:val="center"/>
              <w:rPr>
                <w:rFonts w:ascii="Times New Roman" w:eastAsia="宋体" w:hAnsi="Times New Roman" w:cs="Times New Roman"/>
                <w:b/>
                <w:bCs/>
                <w:color w:val="000000"/>
                <w:kern w:val="0"/>
                <w:sz w:val="18"/>
                <w:szCs w:val="18"/>
              </w:rPr>
            </w:pP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2020-12-31</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2019-12-31</w:t>
            </w:r>
          </w:p>
        </w:tc>
        <w:tc>
          <w:tcPr>
            <w:tcW w:w="1995"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2020-12-31</w:t>
            </w:r>
          </w:p>
        </w:tc>
        <w:tc>
          <w:tcPr>
            <w:tcW w:w="1419"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2019-12-31</w:t>
            </w:r>
          </w:p>
        </w:tc>
      </w:tr>
      <w:tr w:rsidR="000B609E">
        <w:trPr>
          <w:trHeight w:val="421"/>
        </w:trPr>
        <w:tc>
          <w:tcPr>
            <w:tcW w:w="2608" w:type="dxa"/>
            <w:tcBorders>
              <w:tl2br w:val="nil"/>
              <w:tr2bl w:val="nil"/>
            </w:tcBorders>
            <w:shd w:val="clear" w:color="auto" w:fill="auto"/>
            <w:vAlign w:val="center"/>
          </w:tcPr>
          <w:p w:rsidR="000B609E" w:rsidRDefault="00B220E1">
            <w:pPr>
              <w:spacing w:after="156"/>
              <w:ind w:firstLineChars="0" w:firstLine="0"/>
              <w:jc w:val="both"/>
              <w:textAlignment w:val="center"/>
              <w:rPr>
                <w:rFonts w:ascii="Arial" w:hAnsi="Arial" w:cs="Arial"/>
                <w:color w:val="000000"/>
              </w:rPr>
            </w:pPr>
            <w:r>
              <w:rPr>
                <w:rFonts w:ascii="Times New Roman" w:eastAsia="宋体" w:hAnsi="Times New Roman" w:cs="Times New Roman" w:hint="eastAsia"/>
                <w:snapToGrid w:val="0"/>
                <w:kern w:val="0"/>
                <w:sz w:val="18"/>
                <w:szCs w:val="18"/>
              </w:rPr>
              <w:t>Government bonds</w:t>
            </w: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48,848,155.50</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c>
          <w:tcPr>
            <w:tcW w:w="1995"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48,848,155.50</w:t>
            </w:r>
          </w:p>
        </w:tc>
        <w:tc>
          <w:tcPr>
            <w:tcW w:w="1419"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r>
      <w:tr w:rsidR="000B609E">
        <w:trPr>
          <w:trHeight w:val="421"/>
        </w:trPr>
        <w:tc>
          <w:tcPr>
            <w:tcW w:w="2608" w:type="dxa"/>
            <w:tcBorders>
              <w:tl2br w:val="nil"/>
              <w:tr2bl w:val="nil"/>
            </w:tcBorders>
            <w:shd w:val="clear" w:color="auto" w:fill="auto"/>
            <w:vAlign w:val="center"/>
          </w:tcPr>
          <w:p w:rsidR="000B609E" w:rsidRDefault="00B220E1">
            <w:pPr>
              <w:spacing w:after="156"/>
              <w:ind w:firstLineChars="0" w:firstLine="0"/>
              <w:jc w:val="both"/>
              <w:textAlignment w:val="center"/>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 xml:space="preserve">Policy financial bonds </w:t>
            </w: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390,985,961.10</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c>
          <w:tcPr>
            <w:tcW w:w="1995"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390,985,961.10</w:t>
            </w:r>
          </w:p>
        </w:tc>
        <w:tc>
          <w:tcPr>
            <w:tcW w:w="1419"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r>
      <w:tr w:rsidR="000B609E">
        <w:trPr>
          <w:trHeight w:val="421"/>
        </w:trPr>
        <w:tc>
          <w:tcPr>
            <w:tcW w:w="2608" w:type="dxa"/>
            <w:tcBorders>
              <w:tl2br w:val="nil"/>
              <w:tr2bl w:val="nil"/>
            </w:tcBorders>
            <w:shd w:val="clear" w:color="auto" w:fill="auto"/>
            <w:vAlign w:val="center"/>
          </w:tcPr>
          <w:p w:rsidR="000B609E" w:rsidRDefault="00B220E1">
            <w:pPr>
              <w:spacing w:after="156"/>
              <w:ind w:firstLineChars="0" w:firstLine="0"/>
              <w:jc w:val="both"/>
              <w:textAlignment w:val="center"/>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Deposit certificates issued by other financial institutions</w:t>
            </w: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342,753,490.00</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c>
          <w:tcPr>
            <w:tcW w:w="1995"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342,753,490.00</w:t>
            </w:r>
          </w:p>
        </w:tc>
        <w:tc>
          <w:tcPr>
            <w:tcW w:w="1419"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r>
      <w:tr w:rsidR="000B609E">
        <w:trPr>
          <w:trHeight w:val="421"/>
        </w:trPr>
        <w:tc>
          <w:tcPr>
            <w:tcW w:w="2608" w:type="dxa"/>
            <w:tcBorders>
              <w:tl2br w:val="nil"/>
              <w:tr2bl w:val="nil"/>
            </w:tcBorders>
            <w:shd w:val="clear" w:color="auto" w:fill="auto"/>
            <w:vAlign w:val="center"/>
          </w:tcPr>
          <w:p w:rsidR="000B609E" w:rsidRDefault="00B220E1">
            <w:pPr>
              <w:spacing w:after="156"/>
              <w:ind w:firstLineChars="0" w:firstLine="0"/>
              <w:jc w:val="both"/>
              <w:textAlignment w:val="center"/>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Local Treasury Bonds</w:t>
            </w: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604,532,427.88</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c>
          <w:tcPr>
            <w:tcW w:w="1995"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604,532,427.88</w:t>
            </w:r>
          </w:p>
        </w:tc>
        <w:tc>
          <w:tcPr>
            <w:tcW w:w="1419"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r>
      <w:tr w:rsidR="000B609E">
        <w:trPr>
          <w:trHeight w:val="421"/>
        </w:trPr>
        <w:tc>
          <w:tcPr>
            <w:tcW w:w="2608" w:type="dxa"/>
            <w:tcBorders>
              <w:tl2br w:val="nil"/>
              <w:tr2bl w:val="nil"/>
            </w:tcBorders>
            <w:shd w:val="clear" w:color="auto" w:fill="auto"/>
            <w:vAlign w:val="center"/>
          </w:tcPr>
          <w:p w:rsidR="000B609E" w:rsidRDefault="00B220E1">
            <w:pPr>
              <w:spacing w:after="156"/>
              <w:ind w:firstLineChars="0" w:firstLine="0"/>
              <w:jc w:val="center"/>
              <w:textAlignment w:val="center"/>
              <w:rPr>
                <w:rFonts w:ascii="Times New Roman" w:eastAsia="宋体" w:hAnsi="Times New Roman" w:cs="Times New Roman"/>
                <w:snapToGrid w:val="0"/>
                <w:kern w:val="0"/>
                <w:sz w:val="18"/>
                <w:szCs w:val="18"/>
              </w:rPr>
            </w:pPr>
            <w:r>
              <w:rPr>
                <w:rFonts w:ascii="Times New Roman" w:eastAsia="宋体" w:hAnsi="Times New Roman" w:cs="Times New Roman" w:hint="eastAsia"/>
                <w:b/>
                <w:bCs/>
                <w:snapToGrid w:val="0"/>
                <w:kern w:val="0"/>
                <w:sz w:val="18"/>
                <w:szCs w:val="18"/>
              </w:rPr>
              <w:t>Subtotal</w:t>
            </w: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b/>
                <w:bCs/>
                <w:color w:val="000000"/>
                <w:kern w:val="0"/>
                <w:sz w:val="20"/>
                <w:szCs w:val="20"/>
              </w:rPr>
            </w:pPr>
            <w:r>
              <w:rPr>
                <w:rFonts w:ascii="Arial Narrow" w:hAnsi="Arial Narrow"/>
                <w:b/>
                <w:bCs/>
                <w:color w:val="000000"/>
                <w:kern w:val="0"/>
                <w:sz w:val="20"/>
                <w:szCs w:val="20"/>
              </w:rPr>
              <w:t>1,387,120,034.48</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b/>
                <w:bCs/>
                <w:color w:val="000000"/>
                <w:kern w:val="0"/>
                <w:sz w:val="20"/>
                <w:szCs w:val="20"/>
              </w:rPr>
            </w:pPr>
            <w:r>
              <w:rPr>
                <w:rFonts w:ascii="Arial Narrow" w:hAnsi="Arial Narrow" w:hint="eastAsia"/>
                <w:b/>
                <w:bCs/>
                <w:color w:val="000000"/>
                <w:kern w:val="0"/>
                <w:sz w:val="20"/>
                <w:szCs w:val="20"/>
              </w:rPr>
              <w:t>-</w:t>
            </w:r>
          </w:p>
        </w:tc>
        <w:tc>
          <w:tcPr>
            <w:tcW w:w="1995"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b/>
                <w:bCs/>
                <w:color w:val="000000"/>
                <w:kern w:val="0"/>
                <w:sz w:val="20"/>
                <w:szCs w:val="20"/>
              </w:rPr>
            </w:pPr>
            <w:r>
              <w:rPr>
                <w:rFonts w:ascii="Arial Narrow" w:hAnsi="Arial Narrow"/>
                <w:b/>
                <w:bCs/>
                <w:color w:val="000000"/>
                <w:kern w:val="0"/>
                <w:sz w:val="20"/>
                <w:szCs w:val="20"/>
              </w:rPr>
              <w:t>1,387,120,034.48</w:t>
            </w:r>
          </w:p>
        </w:tc>
        <w:tc>
          <w:tcPr>
            <w:tcW w:w="1419"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b/>
                <w:bCs/>
                <w:color w:val="000000"/>
                <w:kern w:val="0"/>
                <w:sz w:val="20"/>
                <w:szCs w:val="20"/>
              </w:rPr>
            </w:pPr>
            <w:r>
              <w:rPr>
                <w:rFonts w:ascii="Arial Narrow" w:hAnsi="Arial Narrow" w:hint="eastAsia"/>
                <w:b/>
                <w:bCs/>
                <w:color w:val="000000"/>
                <w:kern w:val="0"/>
                <w:sz w:val="20"/>
                <w:szCs w:val="20"/>
              </w:rPr>
              <w:t>-</w:t>
            </w:r>
          </w:p>
        </w:tc>
      </w:tr>
      <w:tr w:rsidR="000B609E">
        <w:trPr>
          <w:trHeight w:val="387"/>
        </w:trPr>
        <w:tc>
          <w:tcPr>
            <w:tcW w:w="2608" w:type="dxa"/>
            <w:tcBorders>
              <w:tl2br w:val="nil"/>
              <w:tr2bl w:val="nil"/>
            </w:tcBorders>
            <w:shd w:val="clear" w:color="auto" w:fill="auto"/>
            <w:vAlign w:val="center"/>
          </w:tcPr>
          <w:p w:rsidR="000B609E" w:rsidRDefault="00B220E1">
            <w:pPr>
              <w:spacing w:after="156"/>
              <w:ind w:firstLineChars="0" w:firstLine="0"/>
              <w:jc w:val="both"/>
              <w:textAlignment w:val="center"/>
              <w:rPr>
                <w:rFonts w:ascii="宋体" w:hAnsi="宋体" w:cs="宋体"/>
                <w:color w:val="000000"/>
              </w:rPr>
            </w:pPr>
            <w:proofErr w:type="spellStart"/>
            <w:proofErr w:type="gramStart"/>
            <w:r>
              <w:rPr>
                <w:rFonts w:ascii="Times New Roman" w:eastAsia="宋体" w:hAnsi="Times New Roman" w:cs="Times New Roman" w:hint="eastAsia"/>
                <w:snapToGrid w:val="0"/>
                <w:kern w:val="0"/>
                <w:sz w:val="18"/>
                <w:szCs w:val="18"/>
              </w:rPr>
              <w:t>Add:accrued</w:t>
            </w:r>
            <w:proofErr w:type="spellEnd"/>
            <w:proofErr w:type="gramEnd"/>
            <w:r>
              <w:rPr>
                <w:rFonts w:ascii="Times New Roman" w:eastAsia="宋体" w:hAnsi="Times New Roman" w:cs="Times New Roman" w:hint="eastAsia"/>
                <w:snapToGrid w:val="0"/>
                <w:kern w:val="0"/>
                <w:sz w:val="18"/>
                <w:szCs w:val="18"/>
              </w:rPr>
              <w:t xml:space="preserve"> Interest</w:t>
            </w: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18,176,039.91</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c>
          <w:tcPr>
            <w:tcW w:w="1995"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18,176,039.91</w:t>
            </w:r>
          </w:p>
        </w:tc>
        <w:tc>
          <w:tcPr>
            <w:tcW w:w="1419"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r>
      <w:tr w:rsidR="000B609E">
        <w:trPr>
          <w:trHeight w:val="451"/>
        </w:trPr>
        <w:tc>
          <w:tcPr>
            <w:tcW w:w="2608" w:type="dxa"/>
            <w:tcBorders>
              <w:tl2br w:val="nil"/>
              <w:tr2bl w:val="nil"/>
            </w:tcBorders>
            <w:shd w:val="clear" w:color="auto" w:fill="auto"/>
            <w:vAlign w:val="center"/>
          </w:tcPr>
          <w:p w:rsidR="000B609E" w:rsidRDefault="00B220E1">
            <w:pPr>
              <w:spacing w:after="156"/>
              <w:ind w:firstLine="422"/>
              <w:jc w:val="center"/>
              <w:textAlignment w:val="center"/>
              <w:rPr>
                <w:rFonts w:ascii="Arial" w:hAnsi="Arial" w:cs="Arial"/>
                <w:b/>
                <w:color w:val="000000"/>
              </w:rPr>
            </w:pPr>
            <w:r>
              <w:rPr>
                <w:rFonts w:ascii="Arial" w:hAnsi="Arial" w:cs="Arial" w:hint="eastAsia"/>
                <w:b/>
                <w:bCs/>
                <w:color w:val="000000"/>
              </w:rPr>
              <w:t>Total</w:t>
            </w: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b/>
                <w:bCs/>
                <w:color w:val="000000"/>
                <w:kern w:val="0"/>
                <w:sz w:val="20"/>
                <w:szCs w:val="20"/>
              </w:rPr>
            </w:pPr>
            <w:r>
              <w:rPr>
                <w:rFonts w:ascii="Arial Narrow" w:hAnsi="Arial Narrow"/>
                <w:b/>
                <w:bCs/>
                <w:color w:val="000000"/>
                <w:kern w:val="0"/>
                <w:sz w:val="20"/>
                <w:szCs w:val="20"/>
              </w:rPr>
              <w:t>1,405,296,074.39</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b/>
                <w:bCs/>
                <w:color w:val="000000"/>
                <w:kern w:val="0"/>
                <w:sz w:val="20"/>
                <w:szCs w:val="20"/>
              </w:rPr>
            </w:pPr>
            <w:r>
              <w:rPr>
                <w:rFonts w:ascii="Arial Narrow" w:hAnsi="Arial Narrow" w:hint="eastAsia"/>
                <w:b/>
                <w:bCs/>
                <w:color w:val="000000"/>
                <w:kern w:val="0"/>
                <w:sz w:val="20"/>
                <w:szCs w:val="20"/>
              </w:rPr>
              <w:t>-</w:t>
            </w:r>
          </w:p>
        </w:tc>
        <w:tc>
          <w:tcPr>
            <w:tcW w:w="1995"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b/>
                <w:bCs/>
                <w:color w:val="000000"/>
                <w:kern w:val="0"/>
                <w:sz w:val="20"/>
                <w:szCs w:val="20"/>
              </w:rPr>
            </w:pPr>
            <w:r>
              <w:rPr>
                <w:rFonts w:ascii="Arial Narrow" w:hAnsi="Arial Narrow"/>
                <w:b/>
                <w:bCs/>
                <w:color w:val="000000"/>
                <w:kern w:val="0"/>
                <w:sz w:val="20"/>
                <w:szCs w:val="20"/>
              </w:rPr>
              <w:t>1,405,296,074.39</w:t>
            </w:r>
          </w:p>
        </w:tc>
        <w:tc>
          <w:tcPr>
            <w:tcW w:w="1419"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b/>
                <w:bCs/>
                <w:color w:val="000000"/>
                <w:kern w:val="0"/>
                <w:sz w:val="20"/>
                <w:szCs w:val="20"/>
              </w:rPr>
            </w:pPr>
            <w:r>
              <w:rPr>
                <w:rFonts w:ascii="Arial Narrow" w:hAnsi="Arial Narrow" w:hint="eastAsia"/>
                <w:b/>
                <w:bCs/>
                <w:color w:val="000000"/>
                <w:kern w:val="0"/>
                <w:sz w:val="20"/>
                <w:szCs w:val="20"/>
              </w:rPr>
              <w:t>-</w:t>
            </w:r>
          </w:p>
        </w:tc>
      </w:tr>
    </w:tbl>
    <w:p w:rsidR="000B609E" w:rsidRDefault="00B220E1">
      <w:pPr>
        <w:numPr>
          <w:ilvl w:val="0"/>
          <w:numId w:val="22"/>
        </w:numPr>
        <w:spacing w:after="156"/>
        <w:ind w:firstLineChars="100" w:firstLine="210"/>
      </w:pPr>
      <w:r>
        <w:rPr>
          <w:rFonts w:hint="eastAsia"/>
        </w:rPr>
        <w:t>The fair value and impairment allowance of other debt investments:</w:t>
      </w:r>
    </w:p>
    <w:tbl>
      <w:tblPr>
        <w:tblW w:w="10300" w:type="dxa"/>
        <w:tblInd w:w="-913" w:type="dxa"/>
        <w:tblBorders>
          <w:top w:val="double" w:sz="4" w:space="0" w:color="000000"/>
          <w:bottom w:val="double" w:sz="4" w:space="0" w:color="000000"/>
          <w:insideH w:val="single" w:sz="4" w:space="0" w:color="000000"/>
          <w:insideV w:val="single" w:sz="4" w:space="0" w:color="000000"/>
        </w:tblBorders>
        <w:tblLayout w:type="fixed"/>
        <w:tblCellMar>
          <w:left w:w="113" w:type="dxa"/>
          <w:right w:w="113" w:type="dxa"/>
        </w:tblCellMar>
        <w:tblLook w:val="04A0" w:firstRow="1" w:lastRow="0" w:firstColumn="1" w:lastColumn="0" w:noHBand="0" w:noVBand="1"/>
      </w:tblPr>
      <w:tblGrid>
        <w:gridCol w:w="2608"/>
        <w:gridCol w:w="2160"/>
        <w:gridCol w:w="2118"/>
        <w:gridCol w:w="2103"/>
        <w:gridCol w:w="1311"/>
      </w:tblGrid>
      <w:tr w:rsidR="000B609E">
        <w:trPr>
          <w:trHeight w:val="421"/>
          <w:tblHeader/>
        </w:trPr>
        <w:tc>
          <w:tcPr>
            <w:tcW w:w="2608" w:type="dxa"/>
            <w:vMerge w:val="restart"/>
            <w:tcBorders>
              <w:tl2br w:val="nil"/>
              <w:tr2bl w:val="nil"/>
            </w:tcBorders>
            <w:shd w:val="clear" w:color="auto" w:fill="auto"/>
            <w:vAlign w:val="center"/>
          </w:tcPr>
          <w:p w:rsidR="000B609E" w:rsidRDefault="00B220E1">
            <w:pPr>
              <w:spacing w:after="156"/>
              <w:ind w:firstLineChars="0" w:firstLine="0"/>
              <w:jc w:val="center"/>
              <w:textAlignment w:val="center"/>
              <w:rPr>
                <w:rFonts w:ascii="Times New Roman" w:eastAsia="宋体" w:hAnsi="Times New Roman" w:cs="Times New Roman"/>
                <w:snapToGrid w:val="0"/>
                <w:kern w:val="0"/>
                <w:sz w:val="18"/>
                <w:szCs w:val="18"/>
              </w:rPr>
            </w:pPr>
            <w:r>
              <w:rPr>
                <w:rFonts w:ascii="Times New Roman" w:eastAsia="宋体" w:hAnsi="Times New Roman" w:cs="Times New Roman" w:hint="eastAsia"/>
                <w:b/>
                <w:bCs/>
                <w:snapToGrid w:val="0"/>
                <w:kern w:val="0"/>
                <w:sz w:val="18"/>
                <w:szCs w:val="18"/>
              </w:rPr>
              <w:t>Items</w:t>
            </w:r>
          </w:p>
        </w:tc>
        <w:tc>
          <w:tcPr>
            <w:tcW w:w="4278" w:type="dxa"/>
            <w:gridSpan w:val="2"/>
            <w:tcBorders>
              <w:tl2br w:val="nil"/>
              <w:tr2bl w:val="nil"/>
            </w:tcBorders>
            <w:shd w:val="clear" w:color="auto" w:fill="auto"/>
            <w:vAlign w:val="center"/>
          </w:tcPr>
          <w:p w:rsidR="000B609E" w:rsidRDefault="00B220E1">
            <w:pPr>
              <w:spacing w:after="156"/>
              <w:ind w:firstLineChars="0" w:firstLine="0"/>
              <w:jc w:val="center"/>
              <w:textAlignment w:val="center"/>
              <w:rPr>
                <w:rFonts w:ascii="Times New Roman" w:eastAsia="宋体" w:hAnsi="Times New Roman" w:cs="Times New Roman"/>
                <w:b/>
                <w:bCs/>
                <w:snapToGrid w:val="0"/>
                <w:kern w:val="0"/>
                <w:sz w:val="18"/>
                <w:szCs w:val="18"/>
              </w:rPr>
            </w:pPr>
            <w:r>
              <w:rPr>
                <w:rFonts w:ascii="Times New Roman" w:eastAsia="宋体" w:hAnsi="Times New Roman" w:cs="Times New Roman" w:hint="eastAsia"/>
                <w:b/>
                <w:bCs/>
                <w:snapToGrid w:val="0"/>
                <w:kern w:val="0"/>
                <w:sz w:val="18"/>
                <w:szCs w:val="18"/>
              </w:rPr>
              <w:t>The Group</w:t>
            </w:r>
          </w:p>
        </w:tc>
        <w:tc>
          <w:tcPr>
            <w:tcW w:w="3414" w:type="dxa"/>
            <w:gridSpan w:val="2"/>
            <w:tcBorders>
              <w:tl2br w:val="nil"/>
              <w:tr2bl w:val="nil"/>
            </w:tcBorders>
            <w:shd w:val="clear" w:color="auto" w:fill="auto"/>
            <w:vAlign w:val="center"/>
          </w:tcPr>
          <w:p w:rsidR="000B609E" w:rsidRDefault="00B220E1">
            <w:pPr>
              <w:spacing w:after="156"/>
              <w:ind w:firstLineChars="0" w:firstLine="0"/>
              <w:jc w:val="center"/>
              <w:textAlignment w:val="center"/>
              <w:rPr>
                <w:rFonts w:ascii="Times New Roman" w:eastAsia="宋体" w:hAnsi="Times New Roman" w:cs="Times New Roman"/>
                <w:b/>
                <w:bCs/>
                <w:snapToGrid w:val="0"/>
                <w:kern w:val="0"/>
                <w:sz w:val="18"/>
                <w:szCs w:val="18"/>
              </w:rPr>
            </w:pPr>
            <w:r>
              <w:rPr>
                <w:rFonts w:ascii="Times New Roman" w:eastAsia="宋体" w:hAnsi="Times New Roman" w:cs="Times New Roman" w:hint="eastAsia"/>
                <w:b/>
                <w:bCs/>
                <w:snapToGrid w:val="0"/>
                <w:kern w:val="0"/>
                <w:sz w:val="18"/>
                <w:szCs w:val="18"/>
              </w:rPr>
              <w:t>The Bank</w:t>
            </w:r>
          </w:p>
        </w:tc>
      </w:tr>
      <w:tr w:rsidR="000B609E">
        <w:trPr>
          <w:trHeight w:val="421"/>
          <w:tblHeader/>
        </w:trPr>
        <w:tc>
          <w:tcPr>
            <w:tcW w:w="2608" w:type="dxa"/>
            <w:vMerge/>
            <w:tcBorders>
              <w:tl2br w:val="nil"/>
              <w:tr2bl w:val="nil"/>
            </w:tcBorders>
            <w:shd w:val="clear" w:color="auto" w:fill="auto"/>
            <w:vAlign w:val="center"/>
          </w:tcPr>
          <w:p w:rsidR="000B609E" w:rsidRDefault="000B609E">
            <w:pPr>
              <w:spacing w:after="156"/>
              <w:ind w:firstLineChars="0" w:firstLine="0"/>
              <w:textAlignment w:val="center"/>
              <w:rPr>
                <w:rFonts w:ascii="Times New Roman" w:eastAsia="宋体" w:hAnsi="Times New Roman" w:cs="Times New Roman"/>
                <w:snapToGrid w:val="0"/>
                <w:kern w:val="0"/>
                <w:sz w:val="18"/>
                <w:szCs w:val="18"/>
              </w:rPr>
            </w:pPr>
          </w:p>
        </w:tc>
        <w:tc>
          <w:tcPr>
            <w:tcW w:w="2160" w:type="dxa"/>
            <w:tcBorders>
              <w:right w:val="single" w:sz="4" w:space="0" w:color="auto"/>
              <w:tl2br w:val="nil"/>
              <w:tr2bl w:val="nil"/>
            </w:tcBorders>
            <w:shd w:val="clear" w:color="auto" w:fill="auto"/>
            <w:vAlign w:val="center"/>
          </w:tcPr>
          <w:p w:rsidR="000B609E" w:rsidRDefault="00B220E1">
            <w:pPr>
              <w:spacing w:after="156"/>
              <w:ind w:firstLineChars="0" w:firstLine="0"/>
              <w:jc w:val="center"/>
              <w:textAlignment w:val="center"/>
              <w:rPr>
                <w:rFonts w:ascii="Times New Roman" w:eastAsia="宋体" w:hAnsi="Times New Roman" w:cs="Times New Roman"/>
                <w:b/>
                <w:bCs/>
                <w:snapToGrid w:val="0"/>
                <w:kern w:val="0"/>
                <w:sz w:val="18"/>
                <w:szCs w:val="18"/>
              </w:rPr>
            </w:pPr>
            <w:r>
              <w:rPr>
                <w:rFonts w:ascii="Times New Roman" w:eastAsia="宋体" w:hAnsi="Times New Roman" w:cs="Times New Roman" w:hint="eastAsia"/>
                <w:b/>
                <w:bCs/>
                <w:snapToGrid w:val="0"/>
                <w:kern w:val="0"/>
                <w:sz w:val="18"/>
                <w:szCs w:val="18"/>
              </w:rPr>
              <w:t>2020-12-31</w:t>
            </w:r>
          </w:p>
        </w:tc>
        <w:tc>
          <w:tcPr>
            <w:tcW w:w="2118" w:type="dxa"/>
            <w:tcBorders>
              <w:left w:val="single" w:sz="4" w:space="0" w:color="auto"/>
              <w:tl2br w:val="nil"/>
              <w:tr2bl w:val="nil"/>
            </w:tcBorders>
            <w:shd w:val="clear" w:color="auto" w:fill="auto"/>
            <w:vAlign w:val="center"/>
          </w:tcPr>
          <w:p w:rsidR="000B609E" w:rsidRDefault="00B220E1">
            <w:pPr>
              <w:spacing w:after="156"/>
              <w:ind w:firstLineChars="0" w:firstLine="0"/>
              <w:jc w:val="center"/>
              <w:textAlignment w:val="center"/>
              <w:rPr>
                <w:rFonts w:ascii="Times New Roman" w:eastAsia="宋体" w:hAnsi="Times New Roman" w:cs="Times New Roman"/>
                <w:b/>
                <w:bCs/>
                <w:snapToGrid w:val="0"/>
                <w:kern w:val="0"/>
                <w:sz w:val="18"/>
                <w:szCs w:val="18"/>
              </w:rPr>
            </w:pPr>
            <w:r>
              <w:rPr>
                <w:rFonts w:ascii="Times New Roman" w:eastAsia="宋体" w:hAnsi="Times New Roman" w:cs="Times New Roman" w:hint="eastAsia"/>
                <w:b/>
                <w:bCs/>
                <w:snapToGrid w:val="0"/>
                <w:kern w:val="0"/>
                <w:sz w:val="18"/>
                <w:szCs w:val="18"/>
              </w:rPr>
              <w:t>2019-12-31</w:t>
            </w:r>
          </w:p>
        </w:tc>
        <w:tc>
          <w:tcPr>
            <w:tcW w:w="2103" w:type="dxa"/>
            <w:tcBorders>
              <w:right w:val="single" w:sz="4" w:space="0" w:color="auto"/>
              <w:tl2br w:val="nil"/>
              <w:tr2bl w:val="nil"/>
            </w:tcBorders>
            <w:shd w:val="clear" w:color="auto" w:fill="auto"/>
            <w:vAlign w:val="center"/>
          </w:tcPr>
          <w:p w:rsidR="000B609E" w:rsidRDefault="00B220E1">
            <w:pPr>
              <w:spacing w:after="156"/>
              <w:ind w:firstLineChars="0" w:firstLine="0"/>
              <w:jc w:val="center"/>
              <w:textAlignment w:val="center"/>
              <w:rPr>
                <w:rFonts w:ascii="Times New Roman" w:eastAsia="宋体" w:hAnsi="Times New Roman" w:cs="Times New Roman"/>
                <w:b/>
                <w:bCs/>
                <w:snapToGrid w:val="0"/>
                <w:kern w:val="0"/>
                <w:sz w:val="18"/>
                <w:szCs w:val="18"/>
              </w:rPr>
            </w:pPr>
            <w:r>
              <w:rPr>
                <w:rFonts w:ascii="Times New Roman" w:eastAsia="宋体" w:hAnsi="Times New Roman" w:cs="Times New Roman" w:hint="eastAsia"/>
                <w:b/>
                <w:bCs/>
                <w:snapToGrid w:val="0"/>
                <w:kern w:val="0"/>
                <w:sz w:val="18"/>
                <w:szCs w:val="18"/>
              </w:rPr>
              <w:t>2020-12-31</w:t>
            </w:r>
          </w:p>
        </w:tc>
        <w:tc>
          <w:tcPr>
            <w:tcW w:w="1311" w:type="dxa"/>
            <w:tcBorders>
              <w:left w:val="single" w:sz="4" w:space="0" w:color="auto"/>
              <w:tl2br w:val="nil"/>
              <w:tr2bl w:val="nil"/>
            </w:tcBorders>
            <w:shd w:val="clear" w:color="auto" w:fill="auto"/>
            <w:vAlign w:val="center"/>
          </w:tcPr>
          <w:p w:rsidR="000B609E" w:rsidRDefault="00B220E1">
            <w:pPr>
              <w:spacing w:after="156"/>
              <w:ind w:firstLineChars="0" w:firstLine="0"/>
              <w:jc w:val="center"/>
              <w:textAlignment w:val="center"/>
              <w:rPr>
                <w:rFonts w:ascii="Times New Roman" w:eastAsia="宋体" w:hAnsi="Times New Roman" w:cs="Times New Roman"/>
                <w:b/>
                <w:bCs/>
                <w:snapToGrid w:val="0"/>
                <w:kern w:val="0"/>
                <w:sz w:val="18"/>
                <w:szCs w:val="18"/>
              </w:rPr>
            </w:pPr>
            <w:r>
              <w:rPr>
                <w:rFonts w:ascii="Times New Roman" w:eastAsia="宋体" w:hAnsi="Times New Roman" w:cs="Times New Roman" w:hint="eastAsia"/>
                <w:b/>
                <w:bCs/>
                <w:snapToGrid w:val="0"/>
                <w:kern w:val="0"/>
                <w:sz w:val="18"/>
                <w:szCs w:val="18"/>
              </w:rPr>
              <w:t>2019-12-31</w:t>
            </w:r>
          </w:p>
        </w:tc>
      </w:tr>
      <w:tr w:rsidR="000B609E">
        <w:trPr>
          <w:trHeight w:val="421"/>
        </w:trPr>
        <w:tc>
          <w:tcPr>
            <w:tcW w:w="2608" w:type="dxa"/>
            <w:tcBorders>
              <w:tl2br w:val="nil"/>
              <w:tr2bl w:val="nil"/>
            </w:tcBorders>
            <w:shd w:val="clear" w:color="auto" w:fill="auto"/>
            <w:vAlign w:val="center"/>
          </w:tcPr>
          <w:p w:rsidR="000B609E" w:rsidRDefault="00B220E1">
            <w:pPr>
              <w:spacing w:after="156"/>
              <w:ind w:firstLineChars="0" w:firstLine="0"/>
              <w:textAlignment w:val="center"/>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lastRenderedPageBreak/>
              <w:t xml:space="preserve">Amortized cost of debt instruments </w:t>
            </w: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1,433,348,661.53</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w:t>
            </w:r>
          </w:p>
        </w:tc>
        <w:tc>
          <w:tcPr>
            <w:tcW w:w="2103"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1,433,348,661.53</w:t>
            </w:r>
          </w:p>
        </w:tc>
        <w:tc>
          <w:tcPr>
            <w:tcW w:w="1311"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r>
      <w:tr w:rsidR="000B609E" w:rsidTr="00D95A5E">
        <w:trPr>
          <w:trHeight w:val="421"/>
        </w:trPr>
        <w:tc>
          <w:tcPr>
            <w:tcW w:w="2608" w:type="dxa"/>
            <w:tcBorders>
              <w:tl2br w:val="nil"/>
              <w:tr2bl w:val="nil"/>
            </w:tcBorders>
            <w:shd w:val="clear" w:color="auto" w:fill="auto"/>
            <w:vAlign w:val="center"/>
          </w:tcPr>
          <w:p w:rsidR="000B609E" w:rsidRDefault="00B220E1">
            <w:pPr>
              <w:spacing w:after="156"/>
              <w:ind w:firstLineChars="0" w:firstLine="0"/>
              <w:textAlignment w:val="center"/>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 xml:space="preserve">Fair value </w:t>
            </w: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1,405,296,074.39</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w:t>
            </w:r>
          </w:p>
        </w:tc>
        <w:tc>
          <w:tcPr>
            <w:tcW w:w="2103"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1,405,296,074.39</w:t>
            </w:r>
          </w:p>
        </w:tc>
        <w:tc>
          <w:tcPr>
            <w:tcW w:w="1311" w:type="dxa"/>
            <w:tcBorders>
              <w:left w:val="single" w:sz="4" w:space="0" w:color="auto"/>
              <w:tl2br w:val="nil"/>
              <w:tr2bl w:val="nil"/>
            </w:tcBorders>
            <w:shd w:val="clear" w:color="auto" w:fill="auto"/>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r>
      <w:tr w:rsidR="000B609E">
        <w:trPr>
          <w:trHeight w:val="421"/>
        </w:trPr>
        <w:tc>
          <w:tcPr>
            <w:tcW w:w="2608" w:type="dxa"/>
            <w:tcBorders>
              <w:tl2br w:val="nil"/>
              <w:tr2bl w:val="nil"/>
            </w:tcBorders>
            <w:shd w:val="clear" w:color="auto" w:fill="auto"/>
            <w:vAlign w:val="center"/>
          </w:tcPr>
          <w:p w:rsidR="000B609E" w:rsidRDefault="00B220E1">
            <w:pPr>
              <w:spacing w:after="156"/>
              <w:ind w:firstLineChars="0" w:firstLine="0"/>
              <w:textAlignment w:val="center"/>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 xml:space="preserve">Changes in fair value accumulatively included in other comprehensive income </w:t>
            </w: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-28,052,587.14</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w:t>
            </w:r>
          </w:p>
        </w:tc>
        <w:tc>
          <w:tcPr>
            <w:tcW w:w="2103"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-28,052,587.14</w:t>
            </w:r>
          </w:p>
        </w:tc>
        <w:tc>
          <w:tcPr>
            <w:tcW w:w="1311"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r>
      <w:tr w:rsidR="000B609E">
        <w:trPr>
          <w:trHeight w:val="451"/>
        </w:trPr>
        <w:tc>
          <w:tcPr>
            <w:tcW w:w="2608" w:type="dxa"/>
            <w:tcBorders>
              <w:tl2br w:val="nil"/>
              <w:tr2bl w:val="nil"/>
            </w:tcBorders>
            <w:shd w:val="clear" w:color="auto" w:fill="auto"/>
            <w:vAlign w:val="center"/>
          </w:tcPr>
          <w:p w:rsidR="000B609E" w:rsidRDefault="00B220E1">
            <w:pPr>
              <w:spacing w:after="156"/>
              <w:ind w:firstLineChars="0" w:firstLine="0"/>
              <w:textAlignment w:val="center"/>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The impairment has been accrued</w:t>
            </w:r>
          </w:p>
        </w:tc>
        <w:tc>
          <w:tcPr>
            <w:tcW w:w="2160"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293,660.08</w:t>
            </w:r>
          </w:p>
        </w:tc>
        <w:tc>
          <w:tcPr>
            <w:tcW w:w="2118"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w:t>
            </w:r>
          </w:p>
        </w:tc>
        <w:tc>
          <w:tcPr>
            <w:tcW w:w="2103" w:type="dxa"/>
            <w:tcBorders>
              <w:righ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color w:val="000000"/>
                <w:kern w:val="0"/>
                <w:sz w:val="20"/>
                <w:szCs w:val="20"/>
              </w:rPr>
              <w:t>293,660.08</w:t>
            </w:r>
          </w:p>
        </w:tc>
        <w:tc>
          <w:tcPr>
            <w:tcW w:w="1311" w:type="dxa"/>
            <w:tcBorders>
              <w:left w:val="single" w:sz="4" w:space="0" w:color="auto"/>
              <w:tl2br w:val="nil"/>
              <w:tr2bl w:val="nil"/>
            </w:tcBorders>
            <w:shd w:val="clear" w:color="auto" w:fill="auto"/>
            <w:vAlign w:val="center"/>
          </w:tcPr>
          <w:p w:rsidR="000B609E" w:rsidRDefault="00B220E1">
            <w:pPr>
              <w:spacing w:afterLines="0" w:after="0"/>
              <w:ind w:firstLineChars="0" w:firstLine="0"/>
              <w:jc w:val="right"/>
              <w:rPr>
                <w:rFonts w:ascii="Arial Narrow" w:hAnsi="Arial Narrow"/>
                <w:color w:val="000000"/>
                <w:kern w:val="0"/>
                <w:sz w:val="20"/>
                <w:szCs w:val="20"/>
              </w:rPr>
            </w:pPr>
            <w:r>
              <w:rPr>
                <w:rFonts w:ascii="Arial Narrow" w:hAnsi="Arial Narrow" w:hint="eastAsia"/>
                <w:color w:val="000000"/>
                <w:kern w:val="0"/>
                <w:sz w:val="20"/>
                <w:szCs w:val="20"/>
              </w:rPr>
              <w:t>-</w:t>
            </w:r>
          </w:p>
        </w:tc>
      </w:tr>
    </w:tbl>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9. Other equity instrument</w:t>
      </w:r>
      <w:r>
        <w:rPr>
          <w:rFonts w:ascii="Times New Roman" w:hAnsi="Times New Roman" w:cs="Times New Roman" w:hint="eastAsia"/>
          <w:sz w:val="24"/>
          <w:szCs w:val="24"/>
        </w:rPr>
        <w:t> </w:t>
      </w:r>
      <w:r>
        <w:rPr>
          <w:rFonts w:ascii="Times New Roman" w:hAnsi="Times New Roman" w:cs="Times New Roman" w:hint="eastAsia"/>
          <w:sz w:val="24"/>
          <w:szCs w:val="24"/>
        </w:rPr>
        <w:t>investments</w:t>
      </w:r>
    </w:p>
    <w:tbl>
      <w:tblPr>
        <w:tblW w:w="10308" w:type="dxa"/>
        <w:tblInd w:w="-1009" w:type="dxa"/>
        <w:tblBorders>
          <w:top w:val="double" w:sz="4" w:space="0" w:color="auto"/>
          <w:bottom w:val="double" w:sz="4"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6270"/>
        <w:gridCol w:w="2019"/>
        <w:gridCol w:w="2019"/>
      </w:tblGrid>
      <w:tr w:rsidR="000B609E">
        <w:trPr>
          <w:trHeight w:val="340"/>
        </w:trPr>
        <w:tc>
          <w:tcPr>
            <w:tcW w:w="6270" w:type="dxa"/>
            <w:tcBorders>
              <w:tl2br w:val="nil"/>
              <w:tr2bl w:val="nil"/>
            </w:tcBorders>
            <w:shd w:val="clear" w:color="auto" w:fill="auto"/>
            <w:tcMar>
              <w:top w:w="15" w:type="dxa"/>
              <w:left w:w="15" w:type="dxa"/>
              <w:right w:w="15" w:type="dxa"/>
            </w:tcMar>
            <w:vAlign w:val="center"/>
          </w:tcPr>
          <w:p w:rsidR="000B609E" w:rsidRDefault="00B220E1">
            <w:pPr>
              <w:spacing w:afterLines="0" w:after="0"/>
              <w:ind w:firstLineChars="100" w:firstLine="181"/>
              <w:jc w:val="center"/>
              <w:textAlignment w:val="center"/>
              <w:rPr>
                <w:rFonts w:ascii="Arial" w:hAnsi="Arial" w:cs="Arial"/>
                <w:b/>
                <w:bCs/>
                <w:color w:val="000000"/>
                <w:sz w:val="18"/>
                <w:szCs w:val="18"/>
              </w:rPr>
            </w:pPr>
            <w:r>
              <w:rPr>
                <w:rFonts w:ascii="Times New Roman" w:eastAsia="宋体" w:hAnsi="Times New Roman" w:cs="Times New Roman"/>
                <w:b/>
                <w:bCs/>
                <w:color w:val="000000"/>
                <w:kern w:val="0"/>
                <w:sz w:val="18"/>
                <w:szCs w:val="18"/>
              </w:rPr>
              <w:t>Items</w:t>
            </w:r>
          </w:p>
        </w:tc>
        <w:tc>
          <w:tcPr>
            <w:tcW w:w="2019" w:type="dxa"/>
            <w:tcBorders>
              <w:tl2br w:val="nil"/>
              <w:tr2bl w:val="nil"/>
            </w:tcBorders>
            <w:shd w:val="clear" w:color="auto" w:fill="auto"/>
            <w:tcMar>
              <w:top w:w="15" w:type="dxa"/>
              <w:left w:w="15" w:type="dxa"/>
              <w:right w:w="15" w:type="dxa"/>
            </w:tcMar>
            <w:vAlign w:val="center"/>
          </w:tcPr>
          <w:p w:rsidR="000B609E" w:rsidRDefault="00B220E1">
            <w:pPr>
              <w:spacing w:afterLines="0" w:after="0"/>
              <w:ind w:firstLine="361"/>
              <w:jc w:val="center"/>
              <w:textAlignment w:val="center"/>
              <w:rPr>
                <w:rFonts w:ascii="Arial" w:hAnsi="Arial" w:cs="Arial"/>
                <w:b/>
                <w:bCs/>
                <w:color w:val="00000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2019" w:type="dxa"/>
            <w:tcBorders>
              <w:tl2br w:val="nil"/>
              <w:tr2bl w:val="nil"/>
            </w:tcBorders>
            <w:shd w:val="clear" w:color="auto" w:fill="auto"/>
            <w:tcMar>
              <w:top w:w="15" w:type="dxa"/>
              <w:left w:w="15" w:type="dxa"/>
              <w:right w:w="15" w:type="dxa"/>
            </w:tcMar>
            <w:vAlign w:val="center"/>
          </w:tcPr>
          <w:p w:rsidR="000B609E" w:rsidRDefault="00B220E1">
            <w:pPr>
              <w:spacing w:afterLines="0" w:after="0"/>
              <w:ind w:firstLine="361"/>
              <w:jc w:val="center"/>
              <w:textAlignment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19-</w:t>
            </w:r>
            <w:r>
              <w:rPr>
                <w:rFonts w:ascii="Times New Roman" w:eastAsia="宋体" w:hAnsi="Times New Roman" w:cs="Times New Roman"/>
                <w:b/>
                <w:bCs/>
                <w:color w:val="000000"/>
                <w:kern w:val="0"/>
                <w:sz w:val="18"/>
                <w:szCs w:val="18"/>
              </w:rPr>
              <w:t>12-31</w:t>
            </w:r>
          </w:p>
        </w:tc>
      </w:tr>
      <w:tr w:rsidR="000B609E">
        <w:trPr>
          <w:trHeight w:hRule="exact" w:val="538"/>
        </w:trPr>
        <w:tc>
          <w:tcPr>
            <w:tcW w:w="6270" w:type="dxa"/>
            <w:tcBorders>
              <w:tl2br w:val="nil"/>
              <w:tr2bl w:val="nil"/>
            </w:tcBorders>
            <w:shd w:val="clear" w:color="auto" w:fill="auto"/>
            <w:tcMar>
              <w:top w:w="15" w:type="dxa"/>
              <w:left w:w="15" w:type="dxa"/>
              <w:right w:w="15" w:type="dxa"/>
            </w:tcMar>
            <w:vAlign w:val="center"/>
          </w:tcPr>
          <w:p w:rsidR="000B609E" w:rsidRDefault="00B220E1">
            <w:pPr>
              <w:spacing w:afterLines="0" w:after="0"/>
              <w:ind w:firstLineChars="100" w:firstLine="180"/>
              <w:rPr>
                <w:rFonts w:ascii="Arial" w:hAnsi="Arial" w:cs="Arial"/>
                <w:color w:val="000000"/>
                <w:sz w:val="18"/>
                <w:szCs w:val="18"/>
              </w:rPr>
            </w:pPr>
            <w:r>
              <w:rPr>
                <w:rFonts w:ascii="Times New Roman" w:hAnsi="Times New Roman" w:cs="Times New Roman"/>
                <w:color w:val="333333"/>
                <w:sz w:val="18"/>
                <w:szCs w:val="18"/>
              </w:rPr>
              <w:t>Jiangsu Province Rural Credit Union</w:t>
            </w:r>
          </w:p>
        </w:tc>
        <w:tc>
          <w:tcPr>
            <w:tcW w:w="2019" w:type="dxa"/>
            <w:tcBorders>
              <w:tl2br w:val="nil"/>
              <w:tr2bl w:val="nil"/>
            </w:tcBorders>
            <w:shd w:val="clear" w:color="auto" w:fill="auto"/>
            <w:tcMar>
              <w:top w:w="15" w:type="dxa"/>
              <w:left w:w="15" w:type="dxa"/>
              <w:right w:w="15" w:type="dxa"/>
            </w:tcMar>
            <w:vAlign w:val="center"/>
          </w:tcPr>
          <w:p w:rsidR="000B609E" w:rsidRDefault="00B220E1">
            <w:pPr>
              <w:spacing w:afterLines="0" w:after="0"/>
              <w:ind w:firstLine="400"/>
              <w:jc w:val="center"/>
              <w:rPr>
                <w:rFonts w:ascii="Arial Narrow" w:hAnsi="Arial Narrow" w:cs="Arial"/>
                <w:color w:val="000000"/>
                <w:sz w:val="20"/>
                <w:szCs w:val="20"/>
              </w:rPr>
            </w:pPr>
            <w:r>
              <w:rPr>
                <w:rFonts w:ascii="Arial Narrow" w:hAnsi="Arial Narrow" w:cs="Arial"/>
                <w:color w:val="000000"/>
                <w:sz w:val="20"/>
                <w:szCs w:val="20"/>
              </w:rPr>
              <w:t>600,000.00</w:t>
            </w:r>
          </w:p>
        </w:tc>
        <w:tc>
          <w:tcPr>
            <w:tcW w:w="2019" w:type="dxa"/>
            <w:tcBorders>
              <w:tl2br w:val="nil"/>
              <w:tr2bl w:val="nil"/>
            </w:tcBorders>
            <w:shd w:val="clear" w:color="auto" w:fill="auto"/>
            <w:tcMar>
              <w:top w:w="15" w:type="dxa"/>
              <w:left w:w="15" w:type="dxa"/>
              <w:right w:w="15" w:type="dxa"/>
            </w:tcMar>
            <w:vAlign w:val="center"/>
          </w:tcPr>
          <w:p w:rsidR="000B609E" w:rsidRDefault="00B220E1">
            <w:pPr>
              <w:spacing w:afterLines="0" w:after="0"/>
              <w:ind w:firstLine="400"/>
              <w:jc w:val="center"/>
              <w:rPr>
                <w:rFonts w:ascii="Arial Narrow" w:hAnsi="Arial Narrow" w:cs="Arial"/>
                <w:color w:val="000000"/>
                <w:sz w:val="20"/>
                <w:szCs w:val="20"/>
              </w:rPr>
            </w:pPr>
            <w:r>
              <w:rPr>
                <w:rFonts w:ascii="Arial Narrow" w:hAnsi="Arial Narrow" w:cs="Arial"/>
                <w:color w:val="000000"/>
                <w:sz w:val="20"/>
                <w:szCs w:val="20"/>
              </w:rPr>
              <w:t>600,000.00</w:t>
            </w:r>
          </w:p>
        </w:tc>
      </w:tr>
      <w:tr w:rsidR="000B609E">
        <w:trPr>
          <w:trHeight w:hRule="exact" w:val="474"/>
        </w:trPr>
        <w:tc>
          <w:tcPr>
            <w:tcW w:w="6270" w:type="dxa"/>
            <w:tcBorders>
              <w:tl2br w:val="nil"/>
              <w:tr2bl w:val="nil"/>
            </w:tcBorders>
            <w:shd w:val="clear" w:color="auto" w:fill="auto"/>
            <w:tcMar>
              <w:top w:w="15" w:type="dxa"/>
              <w:left w:w="15" w:type="dxa"/>
              <w:right w:w="15" w:type="dxa"/>
            </w:tcMar>
            <w:vAlign w:val="center"/>
          </w:tcPr>
          <w:p w:rsidR="000B609E" w:rsidRDefault="00B220E1">
            <w:pPr>
              <w:spacing w:afterLines="0" w:after="0"/>
              <w:ind w:firstLineChars="0" w:firstLine="0"/>
              <w:jc w:val="center"/>
              <w:rPr>
                <w:rFonts w:ascii="Arial" w:hAnsi="Arial" w:cs="Arial"/>
                <w:b/>
                <w:color w:val="000000"/>
                <w:sz w:val="18"/>
                <w:szCs w:val="18"/>
              </w:rPr>
            </w:pPr>
            <w:r>
              <w:rPr>
                <w:rFonts w:ascii="Times New Roman" w:eastAsia="宋体" w:hAnsi="Times New Roman" w:cs="Times New Roman" w:hint="eastAsia"/>
                <w:b/>
                <w:bCs/>
                <w:color w:val="000000"/>
                <w:kern w:val="0"/>
                <w:sz w:val="18"/>
                <w:szCs w:val="18"/>
              </w:rPr>
              <w:t>Total</w:t>
            </w:r>
          </w:p>
        </w:tc>
        <w:tc>
          <w:tcPr>
            <w:tcW w:w="2019" w:type="dxa"/>
            <w:tcBorders>
              <w:tl2br w:val="nil"/>
              <w:tr2bl w:val="nil"/>
            </w:tcBorders>
            <w:shd w:val="clear" w:color="auto" w:fill="auto"/>
            <w:tcMar>
              <w:top w:w="15" w:type="dxa"/>
              <w:left w:w="15" w:type="dxa"/>
              <w:right w:w="15" w:type="dxa"/>
            </w:tcMar>
            <w:vAlign w:val="center"/>
          </w:tcPr>
          <w:p w:rsidR="000B609E" w:rsidRDefault="00B220E1">
            <w:pPr>
              <w:spacing w:afterLines="0" w:after="0"/>
              <w:ind w:firstLine="402"/>
              <w:jc w:val="center"/>
              <w:rPr>
                <w:rFonts w:ascii="Arial Narrow" w:hAnsi="Arial Narrow" w:cs="Arial"/>
                <w:b/>
                <w:color w:val="000000"/>
                <w:sz w:val="20"/>
                <w:szCs w:val="20"/>
              </w:rPr>
            </w:pPr>
            <w:r>
              <w:rPr>
                <w:rFonts w:ascii="Arial Narrow" w:hAnsi="Arial Narrow" w:cs="Arial"/>
                <w:b/>
                <w:color w:val="000000"/>
                <w:sz w:val="20"/>
                <w:szCs w:val="20"/>
              </w:rPr>
              <w:t>600,000.00</w:t>
            </w:r>
          </w:p>
        </w:tc>
        <w:tc>
          <w:tcPr>
            <w:tcW w:w="2019" w:type="dxa"/>
            <w:tcBorders>
              <w:tl2br w:val="nil"/>
              <w:tr2bl w:val="nil"/>
            </w:tcBorders>
            <w:shd w:val="clear" w:color="auto" w:fill="auto"/>
            <w:tcMar>
              <w:top w:w="15" w:type="dxa"/>
              <w:left w:w="15" w:type="dxa"/>
              <w:right w:w="15" w:type="dxa"/>
            </w:tcMar>
            <w:vAlign w:val="center"/>
          </w:tcPr>
          <w:p w:rsidR="000B609E" w:rsidRDefault="00B220E1">
            <w:pPr>
              <w:spacing w:afterLines="0" w:after="0"/>
              <w:ind w:firstLine="402"/>
              <w:jc w:val="center"/>
              <w:rPr>
                <w:rFonts w:ascii="Arial Narrow" w:hAnsi="Arial Narrow" w:cs="Arial"/>
                <w:b/>
                <w:color w:val="000000"/>
                <w:sz w:val="20"/>
                <w:szCs w:val="20"/>
              </w:rPr>
            </w:pPr>
            <w:r>
              <w:rPr>
                <w:rFonts w:ascii="Arial Narrow" w:hAnsi="Arial Narrow" w:cs="Arial"/>
                <w:b/>
                <w:color w:val="000000"/>
                <w:sz w:val="20"/>
                <w:szCs w:val="20"/>
              </w:rPr>
              <w:t>600,000.00</w:t>
            </w:r>
          </w:p>
        </w:tc>
      </w:tr>
    </w:tbl>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10. Long-term equity investments</w:t>
      </w:r>
    </w:p>
    <w:p w:rsidR="000B609E" w:rsidRDefault="00B220E1">
      <w:pPr>
        <w:pStyle w:val="11"/>
        <w:numPr>
          <w:ilvl w:val="0"/>
          <w:numId w:val="23"/>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hint="eastAsia"/>
          <w:sz w:val="24"/>
          <w:szCs w:val="24"/>
        </w:rPr>
        <w:t>he Group:</w:t>
      </w:r>
    </w:p>
    <w:tbl>
      <w:tblPr>
        <w:tblpPr w:leftFromText="180" w:rightFromText="180" w:vertAnchor="text" w:horzAnchor="margin" w:tblpXSpec="center" w:tblpY="161"/>
        <w:tblW w:w="9906" w:type="dxa"/>
        <w:jc w:val="center"/>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1096"/>
        <w:gridCol w:w="700"/>
        <w:gridCol w:w="1255"/>
        <w:gridCol w:w="1278"/>
        <w:gridCol w:w="1278"/>
        <w:gridCol w:w="1122"/>
        <w:gridCol w:w="1222"/>
        <w:gridCol w:w="1256"/>
        <w:gridCol w:w="699"/>
      </w:tblGrid>
      <w:tr w:rsidR="000B609E">
        <w:trPr>
          <w:trHeight w:val="1351"/>
          <w:tblHeader/>
          <w:jc w:val="center"/>
        </w:trPr>
        <w:tc>
          <w:tcPr>
            <w:tcW w:w="1096" w:type="dxa"/>
            <w:shd w:val="clear" w:color="auto" w:fill="auto"/>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Invested Unit</w:t>
            </w:r>
          </w:p>
        </w:tc>
        <w:tc>
          <w:tcPr>
            <w:tcW w:w="700" w:type="dxa"/>
            <w:shd w:val="clear" w:color="auto" w:fill="auto"/>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Accounting Method</w:t>
            </w:r>
          </w:p>
        </w:tc>
        <w:tc>
          <w:tcPr>
            <w:tcW w:w="1255" w:type="dxa"/>
            <w:shd w:val="clear" w:color="auto" w:fill="auto"/>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Initial Investment Cost</w:t>
            </w:r>
          </w:p>
        </w:tc>
        <w:tc>
          <w:tcPr>
            <w:tcW w:w="1278" w:type="dxa"/>
            <w:shd w:val="clear" w:color="auto" w:fill="auto"/>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1278" w:type="dxa"/>
            <w:shd w:val="clear" w:color="auto" w:fill="auto"/>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Investment profit and loss (equity method)</w:t>
            </w:r>
          </w:p>
        </w:tc>
        <w:tc>
          <w:tcPr>
            <w:tcW w:w="1122" w:type="dxa"/>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Adjustment of other comprehensive income</w:t>
            </w:r>
          </w:p>
        </w:tc>
        <w:tc>
          <w:tcPr>
            <w:tcW w:w="1222" w:type="dxa"/>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Dividend</w:t>
            </w:r>
          </w:p>
        </w:tc>
        <w:tc>
          <w:tcPr>
            <w:tcW w:w="1256" w:type="dxa"/>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hint="eastAsia"/>
                <w:b/>
                <w:bCs/>
                <w:color w:val="000000"/>
                <w:kern w:val="0"/>
                <w:sz w:val="18"/>
                <w:szCs w:val="18"/>
              </w:rPr>
              <w:t>2020-12-31</w:t>
            </w:r>
          </w:p>
        </w:tc>
        <w:tc>
          <w:tcPr>
            <w:tcW w:w="699" w:type="dxa"/>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Share</w:t>
            </w:r>
            <w:r>
              <w:rPr>
                <w:rFonts w:ascii="Times New Roman" w:eastAsia="宋体" w:hAnsi="Times New Roman" w:cs="Times New Roman" w:hint="eastAsia"/>
                <w:b/>
                <w:bCs/>
                <w:color w:val="000000"/>
                <w:kern w:val="0"/>
                <w:sz w:val="18"/>
                <w:szCs w:val="18"/>
              </w:rPr>
              <w:t>-</w:t>
            </w:r>
            <w:r>
              <w:rPr>
                <w:rFonts w:ascii="Times New Roman" w:eastAsia="宋体" w:hAnsi="Times New Roman" w:cs="Times New Roman"/>
                <w:b/>
                <w:bCs/>
                <w:color w:val="000000"/>
                <w:kern w:val="0"/>
                <w:sz w:val="18"/>
                <w:szCs w:val="18"/>
              </w:rPr>
              <w:t>holding ratio</w:t>
            </w:r>
          </w:p>
        </w:tc>
      </w:tr>
      <w:tr w:rsidR="000B609E">
        <w:trPr>
          <w:trHeight w:hRule="exact" w:val="2268"/>
          <w:jc w:val="center"/>
        </w:trPr>
        <w:tc>
          <w:tcPr>
            <w:tcW w:w="1096" w:type="dxa"/>
            <w:shd w:val="clear" w:color="auto" w:fill="auto"/>
            <w:vAlign w:val="center"/>
          </w:tcPr>
          <w:p w:rsidR="000B609E" w:rsidRDefault="00B220E1">
            <w:pPr>
              <w:spacing w:afterLines="0" w:after="0"/>
              <w:ind w:firstLineChars="0" w:firstLine="0"/>
              <w:rPr>
                <w:rFonts w:ascii="宋体" w:hAnsi="宋体" w:cs="宋体"/>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Taixing</w:t>
            </w:r>
            <w:proofErr w:type="spellEnd"/>
            <w:r>
              <w:rPr>
                <w:rFonts w:ascii="Times New Roman" w:eastAsia="宋体" w:hAnsi="Times New Roman" w:cs="Times New Roman"/>
                <w:kern w:val="0"/>
                <w:sz w:val="18"/>
                <w:szCs w:val="18"/>
              </w:rPr>
              <w:t xml:space="preserve"> Rural Commercia</w:t>
            </w:r>
            <w:r>
              <w:rPr>
                <w:rFonts w:ascii="Times New Roman" w:eastAsia="宋体" w:hAnsi="Times New Roman" w:cs="Times New Roman" w:hint="eastAsia"/>
                <w:kern w:val="0"/>
                <w:sz w:val="18"/>
                <w:szCs w:val="18"/>
              </w:rPr>
              <w:t>-</w:t>
            </w:r>
            <w:r>
              <w:rPr>
                <w:rFonts w:ascii="Times New Roman" w:eastAsia="宋体" w:hAnsi="Times New Roman" w:cs="Times New Roman"/>
                <w:kern w:val="0"/>
                <w:sz w:val="18"/>
                <w:szCs w:val="18"/>
              </w:rPr>
              <w:t>l Bank</w:t>
            </w:r>
          </w:p>
        </w:tc>
        <w:tc>
          <w:tcPr>
            <w:tcW w:w="700" w:type="dxa"/>
            <w:shd w:val="clear" w:color="auto" w:fill="auto"/>
            <w:vAlign w:val="center"/>
          </w:tcPr>
          <w:p w:rsidR="000B609E" w:rsidRDefault="00B220E1">
            <w:pPr>
              <w:spacing w:afterLines="0" w:after="0"/>
              <w:ind w:firstLineChars="0" w:firstLine="0"/>
              <w:rPr>
                <w:rFonts w:ascii="宋体" w:hAnsi="宋体" w:cs="宋体"/>
                <w:sz w:val="18"/>
                <w:szCs w:val="18"/>
              </w:rPr>
            </w:pPr>
            <w:r>
              <w:rPr>
                <w:rFonts w:ascii="Times New Roman" w:eastAsia="宋体" w:hAnsi="Times New Roman" w:cs="Times New Roman"/>
                <w:kern w:val="0"/>
                <w:sz w:val="18"/>
                <w:szCs w:val="18"/>
              </w:rPr>
              <w:t>Equity method</w:t>
            </w:r>
          </w:p>
        </w:tc>
        <w:tc>
          <w:tcPr>
            <w:tcW w:w="1255" w:type="dxa"/>
            <w:shd w:val="clear" w:color="auto" w:fill="auto"/>
            <w:vAlign w:val="center"/>
          </w:tcPr>
          <w:p w:rsidR="000B609E" w:rsidRDefault="00B220E1">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color w:val="000000"/>
                <w:sz w:val="18"/>
                <w:szCs w:val="18"/>
              </w:rPr>
              <w:t>97,000,000.00</w:t>
            </w:r>
          </w:p>
        </w:tc>
        <w:tc>
          <w:tcPr>
            <w:tcW w:w="1278" w:type="dxa"/>
            <w:vAlign w:val="center"/>
          </w:tcPr>
          <w:p w:rsidR="000B609E" w:rsidRDefault="00B220E1">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hint="eastAsia"/>
                <w:color w:val="000000"/>
                <w:sz w:val="18"/>
                <w:szCs w:val="18"/>
              </w:rPr>
              <w:t xml:space="preserve">317,055,552.11 </w:t>
            </w:r>
          </w:p>
        </w:tc>
        <w:tc>
          <w:tcPr>
            <w:tcW w:w="1278" w:type="dxa"/>
            <w:vAlign w:val="center"/>
          </w:tcPr>
          <w:p w:rsidR="000B609E" w:rsidRDefault="00B220E1">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color w:val="000000"/>
                <w:sz w:val="18"/>
                <w:szCs w:val="18"/>
              </w:rPr>
              <w:t>266,984,142.44</w:t>
            </w:r>
          </w:p>
        </w:tc>
        <w:tc>
          <w:tcPr>
            <w:tcW w:w="1122" w:type="dxa"/>
            <w:vAlign w:val="center"/>
          </w:tcPr>
          <w:p w:rsidR="000B609E" w:rsidRDefault="00B220E1">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color w:val="000000"/>
                <w:sz w:val="18"/>
                <w:szCs w:val="18"/>
              </w:rPr>
              <w:t>390,458.01</w:t>
            </w:r>
          </w:p>
        </w:tc>
        <w:tc>
          <w:tcPr>
            <w:tcW w:w="1222" w:type="dxa"/>
            <w:vAlign w:val="center"/>
          </w:tcPr>
          <w:p w:rsidR="000B609E" w:rsidRDefault="00B220E1">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color w:val="000000"/>
                <w:sz w:val="18"/>
                <w:szCs w:val="18"/>
              </w:rPr>
              <w:t>5,200,000.00</w:t>
            </w:r>
          </w:p>
        </w:tc>
        <w:tc>
          <w:tcPr>
            <w:tcW w:w="1256" w:type="dxa"/>
            <w:vAlign w:val="center"/>
          </w:tcPr>
          <w:p w:rsidR="000B609E" w:rsidRDefault="00B220E1">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color w:val="000000"/>
                <w:sz w:val="18"/>
                <w:szCs w:val="18"/>
              </w:rPr>
              <w:t>359,174,600.45</w:t>
            </w:r>
          </w:p>
        </w:tc>
        <w:tc>
          <w:tcPr>
            <w:tcW w:w="699" w:type="dxa"/>
            <w:vAlign w:val="center"/>
          </w:tcPr>
          <w:p w:rsidR="000B609E" w:rsidRPr="00A5091D" w:rsidRDefault="00B220E1">
            <w:pPr>
              <w:spacing w:afterLines="0" w:after="0"/>
              <w:ind w:firstLineChars="0" w:firstLine="0"/>
              <w:jc w:val="right"/>
              <w:textAlignment w:val="bottom"/>
              <w:rPr>
                <w:rFonts w:ascii="Arial Narrow" w:hAnsi="Arial Narrow" w:cs="宋体"/>
                <w:color w:val="000000"/>
                <w:sz w:val="18"/>
                <w:szCs w:val="18"/>
              </w:rPr>
            </w:pPr>
            <w:r w:rsidRPr="00A5091D">
              <w:rPr>
                <w:rFonts w:ascii="Arial Narrow" w:hAnsi="Arial Narrow" w:cs="宋体"/>
                <w:color w:val="000000"/>
                <w:sz w:val="18"/>
                <w:szCs w:val="18"/>
              </w:rPr>
              <w:t>13.00%</w:t>
            </w:r>
          </w:p>
        </w:tc>
      </w:tr>
      <w:tr w:rsidR="006A3584" w:rsidTr="009F4156">
        <w:trPr>
          <w:trHeight w:hRule="exact" w:val="2268"/>
          <w:jc w:val="center"/>
        </w:trPr>
        <w:tc>
          <w:tcPr>
            <w:tcW w:w="1096" w:type="dxa"/>
            <w:shd w:val="clear" w:color="auto" w:fill="auto"/>
            <w:vAlign w:val="center"/>
          </w:tcPr>
          <w:p w:rsidR="006A3584" w:rsidRDefault="006A3584" w:rsidP="006A3584">
            <w:pPr>
              <w:spacing w:afterLines="0" w:after="0"/>
              <w:ind w:firstLineChars="0" w:firstLine="0"/>
              <w:jc w:val="center"/>
              <w:rPr>
                <w:rFonts w:ascii="宋体" w:hAnsi="宋体" w:cs="宋体"/>
                <w:b/>
                <w:bCs/>
                <w:color w:val="000000"/>
                <w:sz w:val="18"/>
                <w:szCs w:val="18"/>
              </w:rPr>
            </w:pPr>
            <w:bookmarkStart w:id="0" w:name="_Hlk73438394"/>
            <w:r>
              <w:rPr>
                <w:rFonts w:ascii="Times New Roman" w:eastAsia="宋体" w:hAnsi="Times New Roman" w:cs="Times New Roman"/>
                <w:b/>
                <w:bCs/>
                <w:color w:val="000000"/>
                <w:kern w:val="0"/>
                <w:sz w:val="18"/>
                <w:szCs w:val="18"/>
              </w:rPr>
              <w:lastRenderedPageBreak/>
              <w:t>Invested Unit</w:t>
            </w:r>
          </w:p>
        </w:tc>
        <w:tc>
          <w:tcPr>
            <w:tcW w:w="700" w:type="dxa"/>
            <w:shd w:val="clear" w:color="auto" w:fill="auto"/>
            <w:vAlign w:val="center"/>
          </w:tcPr>
          <w:p w:rsidR="006A3584" w:rsidRDefault="006A3584" w:rsidP="006A3584">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Accounting Method</w:t>
            </w:r>
          </w:p>
        </w:tc>
        <w:tc>
          <w:tcPr>
            <w:tcW w:w="1255" w:type="dxa"/>
            <w:shd w:val="clear" w:color="auto" w:fill="auto"/>
            <w:vAlign w:val="center"/>
          </w:tcPr>
          <w:p w:rsidR="006A3584" w:rsidRDefault="006A3584" w:rsidP="006A3584">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Initial Investment Cost</w:t>
            </w:r>
          </w:p>
        </w:tc>
        <w:tc>
          <w:tcPr>
            <w:tcW w:w="1278" w:type="dxa"/>
            <w:shd w:val="clear" w:color="auto" w:fill="auto"/>
            <w:vAlign w:val="center"/>
          </w:tcPr>
          <w:p w:rsidR="006A3584" w:rsidRDefault="006A3584" w:rsidP="006A3584">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1278" w:type="dxa"/>
            <w:shd w:val="clear" w:color="auto" w:fill="auto"/>
            <w:vAlign w:val="center"/>
          </w:tcPr>
          <w:p w:rsidR="006A3584" w:rsidRDefault="006A3584" w:rsidP="006A3584">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Investment profit and loss (equity method)</w:t>
            </w:r>
          </w:p>
        </w:tc>
        <w:tc>
          <w:tcPr>
            <w:tcW w:w="1122" w:type="dxa"/>
            <w:vAlign w:val="center"/>
          </w:tcPr>
          <w:p w:rsidR="006A3584" w:rsidRDefault="006A3584" w:rsidP="006A3584">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Adjustment of other comprehensive income</w:t>
            </w:r>
          </w:p>
        </w:tc>
        <w:tc>
          <w:tcPr>
            <w:tcW w:w="1222" w:type="dxa"/>
            <w:vAlign w:val="center"/>
          </w:tcPr>
          <w:p w:rsidR="006A3584" w:rsidRDefault="006A3584" w:rsidP="006A3584">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Dividend</w:t>
            </w:r>
          </w:p>
        </w:tc>
        <w:tc>
          <w:tcPr>
            <w:tcW w:w="1256" w:type="dxa"/>
            <w:vAlign w:val="center"/>
          </w:tcPr>
          <w:p w:rsidR="006A3584" w:rsidRDefault="006A3584" w:rsidP="006A3584">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hint="eastAsia"/>
                <w:b/>
                <w:bCs/>
                <w:color w:val="000000"/>
                <w:kern w:val="0"/>
                <w:sz w:val="18"/>
                <w:szCs w:val="18"/>
              </w:rPr>
              <w:t>2020-12-31</w:t>
            </w:r>
          </w:p>
        </w:tc>
        <w:tc>
          <w:tcPr>
            <w:tcW w:w="699" w:type="dxa"/>
            <w:vAlign w:val="center"/>
          </w:tcPr>
          <w:p w:rsidR="006A3584" w:rsidRDefault="006A3584" w:rsidP="006A3584">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Share</w:t>
            </w:r>
            <w:r>
              <w:rPr>
                <w:rFonts w:ascii="Times New Roman" w:eastAsia="宋体" w:hAnsi="Times New Roman" w:cs="Times New Roman" w:hint="eastAsia"/>
                <w:b/>
                <w:bCs/>
                <w:color w:val="000000"/>
                <w:kern w:val="0"/>
                <w:sz w:val="18"/>
                <w:szCs w:val="18"/>
              </w:rPr>
              <w:t>-</w:t>
            </w:r>
            <w:r>
              <w:rPr>
                <w:rFonts w:ascii="Times New Roman" w:eastAsia="宋体" w:hAnsi="Times New Roman" w:cs="Times New Roman"/>
                <w:b/>
                <w:bCs/>
                <w:color w:val="000000"/>
                <w:kern w:val="0"/>
                <w:sz w:val="18"/>
                <w:szCs w:val="18"/>
              </w:rPr>
              <w:t>holding ratio</w:t>
            </w:r>
          </w:p>
        </w:tc>
      </w:tr>
      <w:tr w:rsidR="006A3584" w:rsidTr="00A731CA">
        <w:trPr>
          <w:trHeight w:hRule="exact" w:val="2268"/>
          <w:jc w:val="center"/>
        </w:trPr>
        <w:tc>
          <w:tcPr>
            <w:tcW w:w="1096" w:type="dxa"/>
            <w:shd w:val="clear" w:color="auto" w:fill="auto"/>
            <w:vAlign w:val="center"/>
          </w:tcPr>
          <w:p w:rsidR="006A3584" w:rsidRDefault="006A3584" w:rsidP="006A3584">
            <w:pPr>
              <w:spacing w:afterLines="0" w:after="0"/>
              <w:ind w:firstLineChars="0" w:firstLine="0"/>
              <w:rPr>
                <w:rFonts w:ascii="宋体" w:hAnsi="宋体" w:cs="宋体"/>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hint="eastAsia"/>
                <w:kern w:val="0"/>
                <w:sz w:val="18"/>
                <w:szCs w:val="18"/>
              </w:rPr>
              <w:t>Suinin</w:t>
            </w:r>
            <w:r>
              <w:rPr>
                <w:rFonts w:ascii="Times New Roman" w:eastAsia="宋体" w:hAnsi="Times New Roman" w:cs="Times New Roman"/>
                <w:kern w:val="0"/>
                <w:sz w:val="18"/>
                <w:szCs w:val="18"/>
              </w:rPr>
              <w:t>g</w:t>
            </w:r>
            <w:proofErr w:type="spellEnd"/>
            <w:r>
              <w:rPr>
                <w:rFonts w:ascii="Times New Roman" w:eastAsia="宋体" w:hAnsi="Times New Roman" w:cs="Times New Roman"/>
                <w:kern w:val="0"/>
                <w:sz w:val="18"/>
                <w:szCs w:val="18"/>
              </w:rPr>
              <w:t xml:space="preserve"> Rural Commercia</w:t>
            </w:r>
            <w:r>
              <w:rPr>
                <w:rFonts w:ascii="Times New Roman" w:eastAsia="宋体" w:hAnsi="Times New Roman" w:cs="Times New Roman" w:hint="eastAsia"/>
                <w:kern w:val="0"/>
                <w:sz w:val="18"/>
                <w:szCs w:val="18"/>
              </w:rPr>
              <w:t>-</w:t>
            </w:r>
            <w:r>
              <w:rPr>
                <w:rFonts w:ascii="Times New Roman" w:eastAsia="宋体" w:hAnsi="Times New Roman" w:cs="Times New Roman"/>
                <w:kern w:val="0"/>
                <w:sz w:val="18"/>
                <w:szCs w:val="18"/>
              </w:rPr>
              <w:t>l Bank</w:t>
            </w:r>
          </w:p>
        </w:tc>
        <w:tc>
          <w:tcPr>
            <w:tcW w:w="700" w:type="dxa"/>
            <w:shd w:val="clear" w:color="auto" w:fill="auto"/>
            <w:vAlign w:val="center"/>
          </w:tcPr>
          <w:p w:rsidR="006A3584" w:rsidRDefault="006A3584" w:rsidP="006A3584">
            <w:pPr>
              <w:spacing w:afterLines="0" w:after="0"/>
              <w:ind w:firstLineChars="0" w:firstLine="0"/>
              <w:rPr>
                <w:rFonts w:ascii="宋体" w:hAnsi="宋体" w:cs="宋体"/>
                <w:sz w:val="18"/>
                <w:szCs w:val="18"/>
              </w:rPr>
            </w:pPr>
            <w:r>
              <w:rPr>
                <w:rFonts w:ascii="Times New Roman" w:eastAsia="宋体" w:hAnsi="Times New Roman" w:cs="Times New Roman"/>
                <w:kern w:val="0"/>
                <w:sz w:val="18"/>
                <w:szCs w:val="18"/>
              </w:rPr>
              <w:t>Equity method</w:t>
            </w:r>
          </w:p>
        </w:tc>
        <w:tc>
          <w:tcPr>
            <w:tcW w:w="1255" w:type="dxa"/>
            <w:shd w:val="clear" w:color="auto" w:fill="auto"/>
            <w:vAlign w:val="center"/>
          </w:tcPr>
          <w:p w:rsidR="006A3584" w:rsidRDefault="006A3584" w:rsidP="006A3584">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color w:val="000000"/>
                <w:sz w:val="18"/>
                <w:szCs w:val="18"/>
              </w:rPr>
              <w:t>129,911,222.51</w:t>
            </w:r>
          </w:p>
        </w:tc>
        <w:tc>
          <w:tcPr>
            <w:tcW w:w="1278" w:type="dxa"/>
            <w:vAlign w:val="center"/>
          </w:tcPr>
          <w:p w:rsidR="006A3584" w:rsidRDefault="006A3584" w:rsidP="006A3584">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hint="eastAsia"/>
                <w:color w:val="000000"/>
                <w:sz w:val="18"/>
                <w:szCs w:val="18"/>
              </w:rPr>
              <w:t>151,003,077.54</w:t>
            </w:r>
          </w:p>
        </w:tc>
        <w:tc>
          <w:tcPr>
            <w:tcW w:w="1278" w:type="dxa"/>
            <w:vAlign w:val="center"/>
          </w:tcPr>
          <w:p w:rsidR="006A3584" w:rsidRDefault="006A3584" w:rsidP="006A3584">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color w:val="000000"/>
                <w:sz w:val="18"/>
                <w:szCs w:val="18"/>
              </w:rPr>
              <w:t>35,518,725.03</w:t>
            </w:r>
          </w:p>
        </w:tc>
        <w:tc>
          <w:tcPr>
            <w:tcW w:w="1122" w:type="dxa"/>
            <w:vAlign w:val="center"/>
          </w:tcPr>
          <w:p w:rsidR="006A3584" w:rsidRDefault="006A3584" w:rsidP="006A3584">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color w:val="000000"/>
                <w:sz w:val="18"/>
                <w:szCs w:val="18"/>
              </w:rPr>
              <w:t>-674,781.52</w:t>
            </w:r>
          </w:p>
        </w:tc>
        <w:tc>
          <w:tcPr>
            <w:tcW w:w="1222" w:type="dxa"/>
            <w:vAlign w:val="center"/>
          </w:tcPr>
          <w:p w:rsidR="006A3584" w:rsidRDefault="006A3584" w:rsidP="006A3584">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color w:val="000000"/>
                <w:sz w:val="18"/>
                <w:szCs w:val="18"/>
              </w:rPr>
              <w:t>5,750,000.00</w:t>
            </w:r>
          </w:p>
        </w:tc>
        <w:tc>
          <w:tcPr>
            <w:tcW w:w="1256" w:type="dxa"/>
            <w:vAlign w:val="center"/>
          </w:tcPr>
          <w:p w:rsidR="006A3584" w:rsidRDefault="006A3584" w:rsidP="006A3584">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color w:val="000000"/>
                <w:sz w:val="18"/>
                <w:szCs w:val="18"/>
              </w:rPr>
              <w:t>159,005,166.02</w:t>
            </w:r>
          </w:p>
        </w:tc>
        <w:tc>
          <w:tcPr>
            <w:tcW w:w="699" w:type="dxa"/>
            <w:vAlign w:val="center"/>
          </w:tcPr>
          <w:p w:rsidR="006A3584" w:rsidRPr="00A5091D" w:rsidRDefault="006A3584" w:rsidP="006A3584">
            <w:pPr>
              <w:spacing w:afterLines="0" w:after="0"/>
              <w:ind w:firstLineChars="0" w:firstLine="0"/>
              <w:jc w:val="right"/>
              <w:textAlignment w:val="bottom"/>
              <w:rPr>
                <w:rFonts w:ascii="Arial Narrow" w:hAnsi="Arial Narrow" w:cs="宋体"/>
                <w:color w:val="000000"/>
                <w:sz w:val="18"/>
                <w:szCs w:val="18"/>
              </w:rPr>
            </w:pPr>
            <w:r w:rsidRPr="00A5091D">
              <w:rPr>
                <w:rFonts w:ascii="Arial Narrow" w:hAnsi="Arial Narrow" w:cs="宋体"/>
                <w:color w:val="000000"/>
                <w:sz w:val="18"/>
                <w:szCs w:val="18"/>
              </w:rPr>
              <w:t>9.43%</w:t>
            </w:r>
          </w:p>
        </w:tc>
      </w:tr>
      <w:bookmarkEnd w:id="0"/>
      <w:tr w:rsidR="000B609E">
        <w:trPr>
          <w:trHeight w:hRule="exact" w:val="788"/>
          <w:jc w:val="center"/>
        </w:trPr>
        <w:tc>
          <w:tcPr>
            <w:tcW w:w="1096" w:type="dxa"/>
            <w:vAlign w:val="center"/>
          </w:tcPr>
          <w:p w:rsidR="000B609E" w:rsidRDefault="00B220E1">
            <w:pPr>
              <w:spacing w:afterLines="0" w:after="0"/>
              <w:ind w:firstLineChars="100" w:firstLine="181"/>
              <w:jc w:val="both"/>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Total</w:t>
            </w:r>
          </w:p>
        </w:tc>
        <w:tc>
          <w:tcPr>
            <w:tcW w:w="700" w:type="dxa"/>
            <w:vAlign w:val="center"/>
          </w:tcPr>
          <w:p w:rsidR="000B609E" w:rsidRDefault="00DF783A">
            <w:pPr>
              <w:spacing w:afterLines="0" w:after="0"/>
              <w:ind w:firstLine="361"/>
              <w:jc w:val="center"/>
              <w:rPr>
                <w:rFonts w:ascii="宋体" w:hAnsi="宋体" w:cs="宋体"/>
                <w:b/>
                <w:sz w:val="18"/>
                <w:szCs w:val="18"/>
              </w:rPr>
            </w:pPr>
            <w:r>
              <w:rPr>
                <w:rFonts w:ascii="宋体" w:hAnsi="宋体" w:cs="宋体" w:hint="eastAsia"/>
                <w:b/>
                <w:sz w:val="18"/>
                <w:szCs w:val="18"/>
              </w:rPr>
              <w:t>-</w:t>
            </w:r>
          </w:p>
        </w:tc>
        <w:tc>
          <w:tcPr>
            <w:tcW w:w="125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226,911,222.51</w:t>
            </w:r>
          </w:p>
        </w:tc>
        <w:tc>
          <w:tcPr>
            <w:tcW w:w="1278" w:type="dxa"/>
            <w:vAlign w:val="center"/>
          </w:tcPr>
          <w:p w:rsidR="000B609E" w:rsidRDefault="00B220E1">
            <w:pPr>
              <w:spacing w:afterLines="0" w:after="0"/>
              <w:ind w:firstLineChars="0" w:firstLine="0"/>
              <w:jc w:val="right"/>
              <w:rPr>
                <w:rFonts w:ascii="Arial Narrow" w:hAnsi="Arial Narrow" w:cs="宋体"/>
                <w:b/>
                <w:bCs/>
                <w:color w:val="000000"/>
                <w:sz w:val="18"/>
                <w:szCs w:val="18"/>
              </w:rPr>
            </w:pPr>
            <w:r>
              <w:rPr>
                <w:rFonts w:ascii="Arial Narrow" w:hAnsi="Arial Narrow" w:cs="宋体" w:hint="eastAsia"/>
                <w:b/>
                <w:bCs/>
                <w:color w:val="000000"/>
                <w:sz w:val="18"/>
                <w:szCs w:val="18"/>
                <w:lang w:val="en-GB"/>
              </w:rPr>
              <w:t>468,058,629.65</w:t>
            </w:r>
          </w:p>
        </w:tc>
        <w:tc>
          <w:tcPr>
            <w:tcW w:w="1278" w:type="dxa"/>
            <w:vAlign w:val="center"/>
          </w:tcPr>
          <w:p w:rsidR="000B609E" w:rsidRDefault="00B220E1">
            <w:pPr>
              <w:spacing w:afterLines="0" w:after="0"/>
              <w:ind w:firstLineChars="0" w:firstLine="0"/>
              <w:jc w:val="right"/>
              <w:rPr>
                <w:rFonts w:ascii="Arial Narrow" w:hAnsi="Arial Narrow" w:cs="宋体"/>
                <w:b/>
                <w:bCs/>
                <w:color w:val="000000"/>
                <w:sz w:val="18"/>
                <w:szCs w:val="18"/>
                <w:lang w:val="en-GB"/>
              </w:rPr>
            </w:pPr>
            <w:r>
              <w:rPr>
                <w:rFonts w:ascii="Arial Narrow" w:hAnsi="Arial Narrow" w:cs="宋体"/>
                <w:b/>
                <w:bCs/>
                <w:color w:val="000000"/>
                <w:sz w:val="18"/>
                <w:szCs w:val="18"/>
              </w:rPr>
              <w:t>302,502,867.47</w:t>
            </w:r>
          </w:p>
        </w:tc>
        <w:tc>
          <w:tcPr>
            <w:tcW w:w="1122"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-284,323.51</w:t>
            </w:r>
          </w:p>
        </w:tc>
        <w:tc>
          <w:tcPr>
            <w:tcW w:w="1222"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10,950,000.00</w:t>
            </w:r>
          </w:p>
        </w:tc>
        <w:tc>
          <w:tcPr>
            <w:tcW w:w="1256"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518,179,766.47</w:t>
            </w:r>
          </w:p>
        </w:tc>
        <w:tc>
          <w:tcPr>
            <w:tcW w:w="699" w:type="dxa"/>
            <w:vAlign w:val="center"/>
          </w:tcPr>
          <w:p w:rsidR="000B609E" w:rsidRDefault="00DF783A">
            <w:pPr>
              <w:spacing w:afterLines="0" w:after="0"/>
              <w:ind w:firstLine="402"/>
              <w:jc w:val="right"/>
              <w:rPr>
                <w:rFonts w:ascii="Arial Narrow" w:hAnsi="Arial Narrow" w:cs="宋体"/>
                <w:b/>
                <w:sz w:val="20"/>
                <w:szCs w:val="20"/>
              </w:rPr>
            </w:pPr>
            <w:r>
              <w:rPr>
                <w:rFonts w:ascii="Arial Narrow" w:hAnsi="Arial Narrow" w:cs="宋体" w:hint="eastAsia"/>
                <w:b/>
                <w:sz w:val="20"/>
                <w:szCs w:val="20"/>
              </w:rPr>
              <w:t>-</w:t>
            </w:r>
          </w:p>
        </w:tc>
      </w:tr>
    </w:tbl>
    <w:p w:rsidR="000B609E" w:rsidRDefault="00B220E1">
      <w:pPr>
        <w:spacing w:beforeLines="50" w:before="156" w:after="156" w:line="360" w:lineRule="auto"/>
        <w:ind w:firstLine="480"/>
        <w:rPr>
          <w:rFonts w:ascii="Times New Roman" w:hAnsi="Times New Roman" w:cs="Times New Roman"/>
          <w:sz w:val="24"/>
          <w:szCs w:val="24"/>
        </w:rPr>
      </w:pPr>
      <w:proofErr w:type="spellStart"/>
      <w:proofErr w:type="gramStart"/>
      <w:r>
        <w:rPr>
          <w:rFonts w:ascii="Times New Roman" w:hAnsi="Times New Roman" w:cs="Times New Roman" w:hint="eastAsia"/>
          <w:sz w:val="24"/>
          <w:szCs w:val="24"/>
        </w:rPr>
        <w:t>Note:</w:t>
      </w:r>
      <w:r>
        <w:rPr>
          <w:rFonts w:ascii="Times New Roman" w:hAnsi="Times New Roman" w:cs="Times New Roman"/>
          <w:sz w:val="24"/>
          <w:szCs w:val="24"/>
        </w:rPr>
        <w:t>At</w:t>
      </w:r>
      <w:proofErr w:type="spellEnd"/>
      <w:proofErr w:type="gramEnd"/>
      <w:r>
        <w:rPr>
          <w:rFonts w:ascii="Times New Roman" w:hAnsi="Times New Roman" w:cs="Times New Roman"/>
          <w:sz w:val="24"/>
          <w:szCs w:val="24"/>
        </w:rPr>
        <w:t xml:space="preserve"> the end of the year, there were no obvious signs of impairment for </w:t>
      </w:r>
      <w:r>
        <w:rPr>
          <w:rFonts w:ascii="Times New Roman" w:hAnsi="Times New Roman" w:cs="Times New Roman" w:hint="eastAsia"/>
          <w:sz w:val="24"/>
          <w:szCs w:val="24"/>
        </w:rPr>
        <w:t>l</w:t>
      </w:r>
      <w:r>
        <w:rPr>
          <w:rFonts w:ascii="Times New Roman" w:hAnsi="Times New Roman" w:cs="Times New Roman"/>
          <w:sz w:val="24"/>
          <w:szCs w:val="24"/>
        </w:rPr>
        <w:t>ong-term equity investments.</w:t>
      </w:r>
    </w:p>
    <w:p w:rsidR="000B609E" w:rsidRDefault="00B220E1">
      <w:pPr>
        <w:pStyle w:val="11"/>
        <w:numPr>
          <w:ilvl w:val="0"/>
          <w:numId w:val="23"/>
        </w:numPr>
        <w:spacing w:after="156"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 xml:space="preserve">The </w:t>
      </w:r>
      <w:r>
        <w:rPr>
          <w:rFonts w:ascii="Times New Roman" w:hAnsi="Times New Roman" w:cs="Times New Roman"/>
          <w:sz w:val="24"/>
          <w:szCs w:val="24"/>
        </w:rPr>
        <w:t>Bank</w:t>
      </w:r>
      <w:r>
        <w:rPr>
          <w:rFonts w:ascii="Times New Roman" w:hAnsi="Times New Roman" w:cs="Times New Roman" w:hint="eastAsia"/>
          <w:sz w:val="24"/>
          <w:szCs w:val="24"/>
        </w:rPr>
        <w:t>:</w:t>
      </w:r>
    </w:p>
    <w:tbl>
      <w:tblPr>
        <w:tblpPr w:leftFromText="180" w:rightFromText="180" w:vertAnchor="text" w:horzAnchor="margin" w:tblpXSpec="center" w:tblpY="161"/>
        <w:tblW w:w="9906" w:type="dxa"/>
        <w:jc w:val="center"/>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929"/>
        <w:gridCol w:w="800"/>
        <w:gridCol w:w="1344"/>
        <w:gridCol w:w="1300"/>
        <w:gridCol w:w="1267"/>
        <w:gridCol w:w="1056"/>
        <w:gridCol w:w="1189"/>
        <w:gridCol w:w="1347"/>
        <w:gridCol w:w="674"/>
      </w:tblGrid>
      <w:tr w:rsidR="000B609E">
        <w:trPr>
          <w:trHeight w:val="1349"/>
          <w:tblHeader/>
          <w:jc w:val="center"/>
        </w:trPr>
        <w:tc>
          <w:tcPr>
            <w:tcW w:w="929" w:type="dxa"/>
            <w:shd w:val="clear" w:color="auto" w:fill="auto"/>
            <w:vAlign w:val="center"/>
          </w:tcPr>
          <w:p w:rsidR="000B609E" w:rsidRDefault="00B220E1">
            <w:pPr>
              <w:spacing w:afterLines="0" w:after="0"/>
              <w:ind w:firstLineChars="0" w:firstLine="0"/>
              <w:jc w:val="center"/>
              <w:rPr>
                <w:rFonts w:ascii="宋体" w:hAnsi="宋体" w:cs="宋体"/>
                <w:b/>
                <w:bCs/>
                <w:color w:val="000000"/>
                <w:sz w:val="18"/>
                <w:szCs w:val="18"/>
              </w:rPr>
            </w:pPr>
            <w:bookmarkStart w:id="1" w:name="_Hlk73438568"/>
            <w:r>
              <w:rPr>
                <w:rFonts w:ascii="Times New Roman" w:eastAsia="宋体" w:hAnsi="Times New Roman" w:cs="Times New Roman"/>
                <w:b/>
                <w:bCs/>
                <w:color w:val="000000"/>
                <w:kern w:val="0"/>
                <w:sz w:val="18"/>
                <w:szCs w:val="18"/>
              </w:rPr>
              <w:t>Invested Unit</w:t>
            </w:r>
          </w:p>
        </w:tc>
        <w:tc>
          <w:tcPr>
            <w:tcW w:w="800" w:type="dxa"/>
            <w:shd w:val="clear" w:color="auto" w:fill="auto"/>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Accounting Method</w:t>
            </w:r>
          </w:p>
        </w:tc>
        <w:tc>
          <w:tcPr>
            <w:tcW w:w="1344" w:type="dxa"/>
            <w:shd w:val="clear" w:color="auto" w:fill="auto"/>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Initial Investment Cost</w:t>
            </w:r>
          </w:p>
        </w:tc>
        <w:tc>
          <w:tcPr>
            <w:tcW w:w="1300" w:type="dxa"/>
            <w:shd w:val="clear" w:color="auto" w:fill="auto"/>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19</w:t>
            </w:r>
            <w:r>
              <w:rPr>
                <w:rFonts w:ascii="Times New Roman" w:eastAsia="宋体" w:hAnsi="Times New Roman" w:cs="Times New Roman"/>
                <w:b/>
                <w:bCs/>
                <w:color w:val="000000"/>
                <w:kern w:val="0"/>
                <w:sz w:val="18"/>
                <w:szCs w:val="18"/>
              </w:rPr>
              <w:t>-12-31</w:t>
            </w:r>
          </w:p>
        </w:tc>
        <w:tc>
          <w:tcPr>
            <w:tcW w:w="1267" w:type="dxa"/>
            <w:shd w:val="clear" w:color="auto" w:fill="auto"/>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Investment profit and loss (equity method)</w:t>
            </w:r>
          </w:p>
        </w:tc>
        <w:tc>
          <w:tcPr>
            <w:tcW w:w="1056" w:type="dxa"/>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Adjustment of other comprehensive income</w:t>
            </w:r>
          </w:p>
        </w:tc>
        <w:tc>
          <w:tcPr>
            <w:tcW w:w="1189" w:type="dxa"/>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Dividend</w:t>
            </w:r>
          </w:p>
        </w:tc>
        <w:tc>
          <w:tcPr>
            <w:tcW w:w="1347" w:type="dxa"/>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hint="eastAsia"/>
                <w:b/>
                <w:bCs/>
                <w:color w:val="000000"/>
                <w:kern w:val="0"/>
                <w:sz w:val="18"/>
                <w:szCs w:val="18"/>
              </w:rPr>
              <w:t>2020-12-31</w:t>
            </w:r>
          </w:p>
        </w:tc>
        <w:tc>
          <w:tcPr>
            <w:tcW w:w="674" w:type="dxa"/>
            <w:vAlign w:val="center"/>
          </w:tcPr>
          <w:p w:rsidR="000B609E" w:rsidRDefault="00B220E1">
            <w:pPr>
              <w:spacing w:afterLines="0" w:after="0"/>
              <w:ind w:firstLineChars="0" w:firstLine="0"/>
              <w:jc w:val="center"/>
              <w:rPr>
                <w:rFonts w:ascii="宋体" w:hAnsi="宋体" w:cs="宋体"/>
                <w:b/>
                <w:bCs/>
                <w:color w:val="000000"/>
                <w:sz w:val="18"/>
                <w:szCs w:val="18"/>
              </w:rPr>
            </w:pPr>
            <w:r>
              <w:rPr>
                <w:rFonts w:ascii="Times New Roman" w:eastAsia="宋体" w:hAnsi="Times New Roman" w:cs="Times New Roman"/>
                <w:b/>
                <w:bCs/>
                <w:color w:val="000000"/>
                <w:kern w:val="0"/>
                <w:sz w:val="18"/>
                <w:szCs w:val="18"/>
              </w:rPr>
              <w:t>Share</w:t>
            </w:r>
            <w:r>
              <w:rPr>
                <w:rFonts w:ascii="Times New Roman" w:eastAsia="宋体" w:hAnsi="Times New Roman" w:cs="Times New Roman" w:hint="eastAsia"/>
                <w:b/>
                <w:bCs/>
                <w:color w:val="000000"/>
                <w:kern w:val="0"/>
                <w:sz w:val="18"/>
                <w:szCs w:val="18"/>
              </w:rPr>
              <w:t>-</w:t>
            </w:r>
            <w:r>
              <w:rPr>
                <w:rFonts w:ascii="Times New Roman" w:eastAsia="宋体" w:hAnsi="Times New Roman" w:cs="Times New Roman"/>
                <w:b/>
                <w:bCs/>
                <w:color w:val="000000"/>
                <w:kern w:val="0"/>
                <w:sz w:val="18"/>
                <w:szCs w:val="18"/>
              </w:rPr>
              <w:t>holding ratio</w:t>
            </w:r>
          </w:p>
        </w:tc>
      </w:tr>
      <w:bookmarkEnd w:id="1"/>
      <w:tr w:rsidR="000B609E">
        <w:trPr>
          <w:trHeight w:hRule="exact" w:val="2268"/>
          <w:jc w:val="center"/>
        </w:trPr>
        <w:tc>
          <w:tcPr>
            <w:tcW w:w="929" w:type="dxa"/>
            <w:shd w:val="clear" w:color="auto" w:fill="auto"/>
            <w:vAlign w:val="center"/>
          </w:tcPr>
          <w:p w:rsidR="000B609E" w:rsidRDefault="00B220E1">
            <w:pPr>
              <w:spacing w:afterLines="0" w:after="0"/>
              <w:ind w:firstLineChars="0" w:firstLine="0"/>
              <w:rPr>
                <w:rFonts w:ascii="宋体" w:hAnsi="宋体" w:cs="宋体"/>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Taixing</w:t>
            </w:r>
            <w:proofErr w:type="spellEnd"/>
            <w:r>
              <w:rPr>
                <w:rFonts w:ascii="Times New Roman" w:eastAsia="宋体" w:hAnsi="Times New Roman" w:cs="Times New Roman"/>
                <w:kern w:val="0"/>
                <w:sz w:val="18"/>
                <w:szCs w:val="18"/>
              </w:rPr>
              <w:t xml:space="preserve"> Rural Commercia</w:t>
            </w:r>
            <w:r>
              <w:rPr>
                <w:rFonts w:ascii="Times New Roman" w:eastAsia="宋体" w:hAnsi="Times New Roman" w:cs="Times New Roman" w:hint="eastAsia"/>
                <w:kern w:val="0"/>
                <w:sz w:val="18"/>
                <w:szCs w:val="18"/>
              </w:rPr>
              <w:t>-</w:t>
            </w:r>
            <w:r>
              <w:rPr>
                <w:rFonts w:ascii="Times New Roman" w:eastAsia="宋体" w:hAnsi="Times New Roman" w:cs="Times New Roman"/>
                <w:kern w:val="0"/>
                <w:sz w:val="18"/>
                <w:szCs w:val="18"/>
              </w:rPr>
              <w:t>l Bank</w:t>
            </w:r>
          </w:p>
        </w:tc>
        <w:tc>
          <w:tcPr>
            <w:tcW w:w="800" w:type="dxa"/>
            <w:shd w:val="clear" w:color="auto" w:fill="auto"/>
            <w:vAlign w:val="center"/>
          </w:tcPr>
          <w:p w:rsidR="000B609E" w:rsidRDefault="00B220E1">
            <w:pPr>
              <w:spacing w:afterLines="0" w:after="0"/>
              <w:ind w:firstLineChars="0" w:firstLine="0"/>
              <w:rPr>
                <w:rFonts w:ascii="宋体" w:hAnsi="宋体" w:cs="宋体"/>
                <w:sz w:val="18"/>
                <w:szCs w:val="18"/>
              </w:rPr>
            </w:pPr>
            <w:r>
              <w:rPr>
                <w:rFonts w:ascii="Times New Roman" w:eastAsia="宋体" w:hAnsi="Times New Roman" w:cs="Times New Roman"/>
                <w:kern w:val="0"/>
                <w:sz w:val="18"/>
                <w:szCs w:val="18"/>
              </w:rPr>
              <w:t>Equity method</w:t>
            </w:r>
          </w:p>
        </w:tc>
        <w:tc>
          <w:tcPr>
            <w:tcW w:w="134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Calibri"/>
                <w:color w:val="000000"/>
                <w:sz w:val="18"/>
                <w:szCs w:val="18"/>
              </w:rPr>
              <w:t>97,000,000.00</w:t>
            </w:r>
          </w:p>
        </w:tc>
        <w:tc>
          <w:tcPr>
            <w:tcW w:w="130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 xml:space="preserve">317,055,552.11 </w:t>
            </w:r>
          </w:p>
        </w:tc>
        <w:tc>
          <w:tcPr>
            <w:tcW w:w="126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266,984,142.44</w:t>
            </w:r>
          </w:p>
        </w:tc>
        <w:tc>
          <w:tcPr>
            <w:tcW w:w="105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390,458.01</w:t>
            </w:r>
          </w:p>
        </w:tc>
        <w:tc>
          <w:tcPr>
            <w:tcW w:w="118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5,200,000.00</w:t>
            </w:r>
          </w:p>
        </w:tc>
        <w:tc>
          <w:tcPr>
            <w:tcW w:w="134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359,174,600.45</w:t>
            </w:r>
          </w:p>
        </w:tc>
        <w:tc>
          <w:tcPr>
            <w:tcW w:w="674" w:type="dxa"/>
            <w:vAlign w:val="center"/>
          </w:tcPr>
          <w:p w:rsidR="000B609E" w:rsidRDefault="00B220E1">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sz w:val="18"/>
                <w:szCs w:val="18"/>
              </w:rPr>
              <w:t>13.00%</w:t>
            </w:r>
          </w:p>
        </w:tc>
      </w:tr>
      <w:tr w:rsidR="000B609E">
        <w:trPr>
          <w:trHeight w:hRule="exact" w:val="2268"/>
          <w:jc w:val="center"/>
        </w:trPr>
        <w:tc>
          <w:tcPr>
            <w:tcW w:w="929" w:type="dxa"/>
            <w:shd w:val="clear" w:color="auto" w:fill="auto"/>
            <w:vAlign w:val="center"/>
          </w:tcPr>
          <w:p w:rsidR="000B609E" w:rsidRDefault="00B220E1">
            <w:pPr>
              <w:spacing w:afterLines="0" w:after="0"/>
              <w:ind w:firstLineChars="0" w:firstLine="0"/>
              <w:rPr>
                <w:rFonts w:ascii="宋体" w:hAnsi="宋体" w:cs="宋体"/>
                <w:sz w:val="18"/>
                <w:szCs w:val="18"/>
              </w:rPr>
            </w:pPr>
            <w:bookmarkStart w:id="2" w:name="_Hlk73438542"/>
            <w:r>
              <w:rPr>
                <w:rFonts w:ascii="Times New Roman" w:eastAsia="宋体" w:hAnsi="Times New Roman" w:cs="Times New Roman"/>
                <w:kern w:val="0"/>
                <w:sz w:val="18"/>
                <w:szCs w:val="18"/>
              </w:rPr>
              <w:lastRenderedPageBreak/>
              <w:t xml:space="preserve">Jiangsu </w:t>
            </w:r>
            <w:proofErr w:type="spellStart"/>
            <w:r>
              <w:rPr>
                <w:rFonts w:ascii="Times New Roman" w:eastAsia="宋体" w:hAnsi="Times New Roman" w:cs="Times New Roman" w:hint="eastAsia"/>
                <w:kern w:val="0"/>
                <w:sz w:val="18"/>
                <w:szCs w:val="18"/>
              </w:rPr>
              <w:t>Suinin</w:t>
            </w:r>
            <w:r>
              <w:rPr>
                <w:rFonts w:ascii="Times New Roman" w:eastAsia="宋体" w:hAnsi="Times New Roman" w:cs="Times New Roman"/>
                <w:kern w:val="0"/>
                <w:sz w:val="18"/>
                <w:szCs w:val="18"/>
              </w:rPr>
              <w:t>g</w:t>
            </w:r>
            <w:proofErr w:type="spellEnd"/>
            <w:r>
              <w:rPr>
                <w:rFonts w:ascii="Times New Roman" w:eastAsia="宋体" w:hAnsi="Times New Roman" w:cs="Times New Roman"/>
                <w:kern w:val="0"/>
                <w:sz w:val="18"/>
                <w:szCs w:val="18"/>
              </w:rPr>
              <w:t xml:space="preserve"> Rural Commercia</w:t>
            </w:r>
            <w:r>
              <w:rPr>
                <w:rFonts w:ascii="Times New Roman" w:eastAsia="宋体" w:hAnsi="Times New Roman" w:cs="Times New Roman" w:hint="eastAsia"/>
                <w:kern w:val="0"/>
                <w:sz w:val="18"/>
                <w:szCs w:val="18"/>
              </w:rPr>
              <w:t>-</w:t>
            </w:r>
            <w:r>
              <w:rPr>
                <w:rFonts w:ascii="Times New Roman" w:eastAsia="宋体" w:hAnsi="Times New Roman" w:cs="Times New Roman"/>
                <w:kern w:val="0"/>
                <w:sz w:val="18"/>
                <w:szCs w:val="18"/>
              </w:rPr>
              <w:t>l Bank</w:t>
            </w:r>
          </w:p>
        </w:tc>
        <w:tc>
          <w:tcPr>
            <w:tcW w:w="800" w:type="dxa"/>
            <w:shd w:val="clear" w:color="auto" w:fill="auto"/>
            <w:vAlign w:val="center"/>
          </w:tcPr>
          <w:p w:rsidR="000B609E" w:rsidRDefault="00B220E1">
            <w:pPr>
              <w:spacing w:afterLines="0" w:after="0"/>
              <w:ind w:firstLineChars="0" w:firstLine="0"/>
              <w:rPr>
                <w:rFonts w:ascii="宋体" w:hAnsi="宋体" w:cs="宋体"/>
                <w:sz w:val="18"/>
                <w:szCs w:val="18"/>
              </w:rPr>
            </w:pPr>
            <w:r>
              <w:rPr>
                <w:rFonts w:ascii="Times New Roman" w:eastAsia="宋体" w:hAnsi="Times New Roman" w:cs="Times New Roman"/>
                <w:kern w:val="0"/>
                <w:sz w:val="18"/>
                <w:szCs w:val="18"/>
              </w:rPr>
              <w:t>Equity method</w:t>
            </w:r>
          </w:p>
        </w:tc>
        <w:tc>
          <w:tcPr>
            <w:tcW w:w="134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129,911,222.51</w:t>
            </w:r>
            <w:r>
              <w:rPr>
                <w:rFonts w:ascii="Arial Narrow" w:eastAsia="宋体" w:hAnsi="Arial Narrow" w:cs="Arial Narrow" w:hint="eastAsia"/>
                <w:snapToGrid w:val="0"/>
                <w:kern w:val="0"/>
                <w:sz w:val="18"/>
                <w:szCs w:val="18"/>
                <w:lang w:val="en-GB"/>
              </w:rPr>
              <w:t xml:space="preserve"> </w:t>
            </w:r>
          </w:p>
        </w:tc>
        <w:tc>
          <w:tcPr>
            <w:tcW w:w="130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 xml:space="preserve">151,003,077.54 </w:t>
            </w:r>
          </w:p>
        </w:tc>
        <w:tc>
          <w:tcPr>
            <w:tcW w:w="1267"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35,518,725.03</w:t>
            </w:r>
          </w:p>
        </w:tc>
        <w:tc>
          <w:tcPr>
            <w:tcW w:w="105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-674,781.52</w:t>
            </w:r>
          </w:p>
        </w:tc>
        <w:tc>
          <w:tcPr>
            <w:tcW w:w="1189"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5,750,000.00</w:t>
            </w:r>
          </w:p>
        </w:tc>
        <w:tc>
          <w:tcPr>
            <w:tcW w:w="1347"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159,005,166.02</w:t>
            </w:r>
          </w:p>
        </w:tc>
        <w:tc>
          <w:tcPr>
            <w:tcW w:w="674" w:type="dxa"/>
            <w:vAlign w:val="center"/>
          </w:tcPr>
          <w:p w:rsidR="000B609E" w:rsidRDefault="00B220E1">
            <w:pPr>
              <w:spacing w:afterLines="0" w:after="0"/>
              <w:ind w:firstLineChars="0" w:firstLine="0"/>
              <w:jc w:val="right"/>
              <w:textAlignment w:val="bottom"/>
              <w:rPr>
                <w:rFonts w:ascii="Arial Narrow" w:hAnsi="Arial Narrow" w:cs="宋体"/>
                <w:color w:val="000000"/>
                <w:sz w:val="18"/>
                <w:szCs w:val="18"/>
              </w:rPr>
            </w:pPr>
            <w:r>
              <w:rPr>
                <w:rFonts w:ascii="Arial Narrow" w:hAnsi="Arial Narrow" w:cs="宋体"/>
                <w:sz w:val="18"/>
                <w:szCs w:val="18"/>
              </w:rPr>
              <w:t>9.43%</w:t>
            </w:r>
          </w:p>
        </w:tc>
      </w:tr>
      <w:tr w:rsidR="000B609E">
        <w:trPr>
          <w:trHeight w:hRule="exact" w:val="2268"/>
          <w:jc w:val="center"/>
        </w:trPr>
        <w:tc>
          <w:tcPr>
            <w:tcW w:w="929" w:type="dxa"/>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bookmarkStart w:id="3" w:name="_Hlk73438335"/>
            <w:bookmarkEnd w:id="2"/>
            <w:r>
              <w:rPr>
                <w:rFonts w:ascii="Times New Roman" w:eastAsia="宋体" w:hAnsi="Times New Roman" w:cs="Times New Roman"/>
                <w:kern w:val="0"/>
                <w:sz w:val="18"/>
                <w:szCs w:val="18"/>
              </w:rPr>
              <w:t>Jiangsu</w:t>
            </w:r>
          </w:p>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kern w:val="0"/>
                <w:sz w:val="18"/>
                <w:szCs w:val="18"/>
              </w:rPr>
              <w:t>Hongze</w:t>
            </w:r>
            <w:proofErr w:type="spellEnd"/>
            <w:r>
              <w:rPr>
                <w:rFonts w:ascii="Times New Roman" w:eastAsia="宋体" w:hAnsi="Times New Roman" w:cs="Times New Roman"/>
                <w:kern w:val="0"/>
                <w:sz w:val="18"/>
                <w:szCs w:val="18"/>
              </w:rPr>
              <w:t xml:space="preserve"> </w:t>
            </w:r>
            <w:proofErr w:type="spellStart"/>
            <w:r>
              <w:rPr>
                <w:rFonts w:ascii="Times New Roman" w:eastAsia="宋体" w:hAnsi="Times New Roman" w:cs="Times New Roman"/>
                <w:kern w:val="0"/>
                <w:sz w:val="18"/>
                <w:szCs w:val="18"/>
              </w:rPr>
              <w:t>Jinyanggua</w:t>
            </w:r>
            <w:proofErr w:type="spellEnd"/>
            <w:r>
              <w:rPr>
                <w:rFonts w:ascii="Times New Roman" w:eastAsia="宋体" w:hAnsi="Times New Roman" w:cs="Times New Roman" w:hint="eastAsia"/>
                <w:kern w:val="0"/>
                <w:sz w:val="18"/>
                <w:szCs w:val="18"/>
              </w:rPr>
              <w:t>-</w:t>
            </w:r>
            <w:r>
              <w:rPr>
                <w:rFonts w:ascii="Times New Roman" w:eastAsia="宋体" w:hAnsi="Times New Roman" w:cs="Times New Roman"/>
                <w:kern w:val="0"/>
                <w:sz w:val="18"/>
                <w:szCs w:val="18"/>
              </w:rPr>
              <w:t>ng Village Bank</w:t>
            </w:r>
          </w:p>
        </w:tc>
        <w:tc>
          <w:tcPr>
            <w:tcW w:w="800" w:type="dxa"/>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Cost</w:t>
            </w:r>
          </w:p>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method</w:t>
            </w:r>
          </w:p>
        </w:tc>
        <w:tc>
          <w:tcPr>
            <w:tcW w:w="1344" w:type="dxa"/>
            <w:shd w:val="clear" w:color="auto" w:fill="auto"/>
            <w:vAlign w:val="center"/>
          </w:tcPr>
          <w:p w:rsidR="000B609E" w:rsidRDefault="00B220E1">
            <w:pPr>
              <w:spacing w:afterLines="0" w:after="0"/>
              <w:ind w:firstLineChars="0" w:firstLine="0"/>
              <w:jc w:val="right"/>
              <w:rPr>
                <w:rFonts w:ascii="Arial Narrow" w:hAnsi="Arial Narrow" w:cs="Arial Narrow"/>
                <w:snapToGrid w:val="0"/>
                <w:kern w:val="0"/>
                <w:sz w:val="18"/>
                <w:szCs w:val="18"/>
              </w:rPr>
            </w:pPr>
            <w:r>
              <w:rPr>
                <w:rFonts w:ascii="Arial Narrow" w:hAnsi="Arial Narrow"/>
                <w:sz w:val="18"/>
                <w:szCs w:val="18"/>
              </w:rPr>
              <w:t>41,000,000.0</w:t>
            </w:r>
            <w:r>
              <w:rPr>
                <w:rFonts w:ascii="Arial Narrow" w:hAnsi="Arial Narrow" w:hint="eastAsia"/>
                <w:sz w:val="18"/>
                <w:szCs w:val="18"/>
              </w:rPr>
              <w:t>0</w:t>
            </w:r>
          </w:p>
        </w:tc>
        <w:tc>
          <w:tcPr>
            <w:tcW w:w="130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41,000,000.00</w:t>
            </w:r>
          </w:p>
        </w:tc>
        <w:tc>
          <w:tcPr>
            <w:tcW w:w="1267"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056"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189"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sz w:val="18"/>
                <w:szCs w:val="18"/>
              </w:rPr>
              <w:t>-</w:t>
            </w:r>
          </w:p>
        </w:tc>
        <w:tc>
          <w:tcPr>
            <w:tcW w:w="1347"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sz w:val="18"/>
                <w:szCs w:val="18"/>
              </w:rPr>
              <w:t>41,000,000.00</w:t>
            </w:r>
          </w:p>
        </w:tc>
        <w:tc>
          <w:tcPr>
            <w:tcW w:w="674" w:type="dxa"/>
            <w:shd w:val="clear" w:color="auto" w:fill="auto"/>
            <w:vAlign w:val="center"/>
          </w:tcPr>
          <w:p w:rsidR="000B609E" w:rsidRDefault="00B220E1">
            <w:pPr>
              <w:spacing w:afterLines="0" w:after="0"/>
              <w:ind w:firstLineChars="0" w:firstLine="0"/>
              <w:jc w:val="right"/>
              <w:rPr>
                <w:rFonts w:ascii="Arial Narrow" w:hAnsi="Arial Narrow" w:cs="宋体"/>
                <w:color w:val="000000"/>
                <w:sz w:val="18"/>
                <w:szCs w:val="18"/>
              </w:rPr>
            </w:pPr>
            <w:r>
              <w:rPr>
                <w:rFonts w:ascii="Arial Narrow" w:hAnsi="Arial Narrow"/>
                <w:sz w:val="18"/>
                <w:szCs w:val="18"/>
              </w:rPr>
              <w:t>51.25%</w:t>
            </w:r>
          </w:p>
        </w:tc>
      </w:tr>
      <w:bookmarkEnd w:id="3"/>
      <w:tr w:rsidR="000B609E">
        <w:trPr>
          <w:trHeight w:hRule="exact" w:val="702"/>
          <w:jc w:val="center"/>
        </w:trPr>
        <w:tc>
          <w:tcPr>
            <w:tcW w:w="929" w:type="dxa"/>
            <w:vAlign w:val="center"/>
          </w:tcPr>
          <w:p w:rsidR="000B609E" w:rsidRDefault="00B220E1">
            <w:pPr>
              <w:spacing w:afterLines="0" w:after="0"/>
              <w:ind w:firstLineChars="100" w:firstLine="181"/>
              <w:jc w:val="both"/>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Total</w:t>
            </w:r>
          </w:p>
        </w:tc>
        <w:tc>
          <w:tcPr>
            <w:tcW w:w="800" w:type="dxa"/>
            <w:vAlign w:val="center"/>
          </w:tcPr>
          <w:p w:rsidR="000B609E" w:rsidRDefault="00DF783A">
            <w:pPr>
              <w:spacing w:afterLines="0" w:after="0"/>
              <w:ind w:firstLine="361"/>
              <w:jc w:val="center"/>
              <w:rPr>
                <w:rFonts w:ascii="宋体" w:hAnsi="宋体" w:cs="宋体"/>
                <w:b/>
                <w:sz w:val="18"/>
                <w:szCs w:val="18"/>
              </w:rPr>
            </w:pPr>
            <w:r>
              <w:rPr>
                <w:rFonts w:ascii="宋体" w:hAnsi="宋体" w:cs="宋体" w:hint="eastAsia"/>
                <w:b/>
                <w:sz w:val="18"/>
                <w:szCs w:val="18"/>
              </w:rPr>
              <w:t>-</w:t>
            </w:r>
          </w:p>
        </w:tc>
        <w:tc>
          <w:tcPr>
            <w:tcW w:w="1344" w:type="dxa"/>
            <w:vAlign w:val="center"/>
          </w:tcPr>
          <w:p w:rsidR="000B609E" w:rsidRDefault="00B220E1">
            <w:pPr>
              <w:spacing w:afterLines="0" w:after="0"/>
              <w:ind w:firstLineChars="0" w:firstLine="0"/>
              <w:jc w:val="right"/>
              <w:rPr>
                <w:rFonts w:ascii="Arial Narrow" w:hAnsi="Arial Narrow" w:cs="宋体"/>
                <w:b/>
                <w:bCs/>
                <w:color w:val="000000"/>
                <w:sz w:val="18"/>
                <w:szCs w:val="18"/>
                <w:lang w:val="en-GB"/>
              </w:rPr>
            </w:pPr>
            <w:r>
              <w:rPr>
                <w:rFonts w:ascii="Arial Narrow" w:hAnsi="Arial Narrow" w:cs="宋体"/>
                <w:b/>
                <w:bCs/>
                <w:color w:val="000000"/>
                <w:sz w:val="18"/>
                <w:szCs w:val="18"/>
              </w:rPr>
              <w:t>267,911,222.51</w:t>
            </w:r>
          </w:p>
        </w:tc>
        <w:tc>
          <w:tcPr>
            <w:tcW w:w="1300" w:type="dxa"/>
            <w:vAlign w:val="center"/>
          </w:tcPr>
          <w:p w:rsidR="000B609E" w:rsidRDefault="00B220E1">
            <w:pPr>
              <w:spacing w:afterLines="0" w:after="0"/>
              <w:ind w:firstLineChars="0" w:firstLine="0"/>
              <w:jc w:val="right"/>
              <w:rPr>
                <w:rFonts w:ascii="Arial Narrow" w:hAnsi="Arial Narrow" w:cs="宋体"/>
                <w:b/>
                <w:bCs/>
                <w:color w:val="000000"/>
                <w:sz w:val="18"/>
                <w:szCs w:val="18"/>
                <w:lang w:val="en-GB"/>
              </w:rPr>
            </w:pPr>
            <w:r>
              <w:rPr>
                <w:rFonts w:ascii="Arial Narrow" w:hAnsi="Arial Narrow" w:cs="宋体" w:hint="eastAsia"/>
                <w:b/>
                <w:bCs/>
                <w:color w:val="000000"/>
                <w:sz w:val="18"/>
                <w:szCs w:val="18"/>
                <w:lang w:val="en-GB"/>
              </w:rPr>
              <w:t>509,058,629.65</w:t>
            </w:r>
          </w:p>
        </w:tc>
        <w:tc>
          <w:tcPr>
            <w:tcW w:w="1267" w:type="dxa"/>
            <w:vAlign w:val="center"/>
          </w:tcPr>
          <w:p w:rsidR="000B609E" w:rsidRDefault="00B220E1">
            <w:pPr>
              <w:spacing w:afterLines="0" w:after="0"/>
              <w:ind w:firstLineChars="0" w:firstLine="0"/>
              <w:jc w:val="right"/>
              <w:rPr>
                <w:rFonts w:ascii="Arial Narrow" w:hAnsi="Arial Narrow" w:cs="宋体"/>
                <w:b/>
                <w:bCs/>
                <w:color w:val="000000"/>
                <w:sz w:val="18"/>
                <w:szCs w:val="18"/>
                <w:lang w:val="en-GB"/>
              </w:rPr>
            </w:pPr>
            <w:r>
              <w:rPr>
                <w:rFonts w:ascii="Arial Narrow" w:hAnsi="Arial Narrow" w:cs="宋体"/>
                <w:b/>
                <w:bCs/>
                <w:color w:val="000000"/>
                <w:sz w:val="18"/>
                <w:szCs w:val="18"/>
              </w:rPr>
              <w:t>302,502,867.47</w:t>
            </w:r>
          </w:p>
        </w:tc>
        <w:tc>
          <w:tcPr>
            <w:tcW w:w="1056" w:type="dxa"/>
            <w:vAlign w:val="center"/>
          </w:tcPr>
          <w:p w:rsidR="000B609E" w:rsidRDefault="00B220E1">
            <w:pPr>
              <w:spacing w:afterLines="0" w:after="0"/>
              <w:ind w:firstLineChars="0" w:firstLine="0"/>
              <w:jc w:val="right"/>
              <w:rPr>
                <w:rFonts w:ascii="Arial Narrow" w:hAnsi="Arial Narrow" w:cs="宋体"/>
                <w:b/>
                <w:bCs/>
                <w:color w:val="000000"/>
                <w:sz w:val="18"/>
                <w:szCs w:val="18"/>
                <w:lang w:val="en-GB"/>
              </w:rPr>
            </w:pPr>
            <w:r>
              <w:rPr>
                <w:rFonts w:ascii="Arial Narrow" w:hAnsi="Arial Narrow" w:cs="宋体"/>
                <w:b/>
                <w:bCs/>
                <w:color w:val="000000"/>
                <w:sz w:val="18"/>
                <w:szCs w:val="18"/>
              </w:rPr>
              <w:t>-284,323.51</w:t>
            </w:r>
          </w:p>
        </w:tc>
        <w:tc>
          <w:tcPr>
            <w:tcW w:w="1189" w:type="dxa"/>
            <w:vAlign w:val="center"/>
          </w:tcPr>
          <w:p w:rsidR="000B609E" w:rsidRDefault="00B220E1">
            <w:pPr>
              <w:spacing w:afterLines="0" w:after="0"/>
              <w:ind w:firstLineChars="0" w:firstLine="0"/>
              <w:jc w:val="right"/>
              <w:rPr>
                <w:rFonts w:ascii="Arial Narrow" w:hAnsi="Arial Narrow" w:cs="宋体"/>
                <w:b/>
                <w:bCs/>
                <w:color w:val="000000"/>
                <w:sz w:val="18"/>
                <w:szCs w:val="18"/>
                <w:lang w:val="en-GB"/>
              </w:rPr>
            </w:pPr>
            <w:r>
              <w:rPr>
                <w:rFonts w:ascii="Arial Narrow" w:hAnsi="Arial Narrow" w:cs="宋体"/>
                <w:b/>
                <w:bCs/>
                <w:color w:val="000000"/>
                <w:sz w:val="18"/>
                <w:szCs w:val="18"/>
              </w:rPr>
              <w:t>10,950,000.00</w:t>
            </w:r>
          </w:p>
        </w:tc>
        <w:tc>
          <w:tcPr>
            <w:tcW w:w="1347" w:type="dxa"/>
            <w:vAlign w:val="center"/>
          </w:tcPr>
          <w:p w:rsidR="000B609E" w:rsidRDefault="00B220E1">
            <w:pPr>
              <w:spacing w:afterLines="0" w:after="0"/>
              <w:ind w:firstLineChars="0" w:firstLine="0"/>
              <w:jc w:val="right"/>
              <w:rPr>
                <w:rFonts w:ascii="Arial Narrow" w:hAnsi="Arial Narrow" w:cs="宋体"/>
                <w:b/>
                <w:bCs/>
                <w:color w:val="000000"/>
                <w:sz w:val="18"/>
                <w:szCs w:val="18"/>
                <w:lang w:val="en-GB"/>
              </w:rPr>
            </w:pPr>
            <w:r>
              <w:rPr>
                <w:rFonts w:ascii="Arial Narrow" w:hAnsi="Arial Narrow" w:cs="宋体"/>
                <w:b/>
                <w:bCs/>
                <w:color w:val="000000"/>
                <w:sz w:val="18"/>
                <w:szCs w:val="18"/>
              </w:rPr>
              <w:t>559,179,766.47</w:t>
            </w:r>
          </w:p>
        </w:tc>
        <w:tc>
          <w:tcPr>
            <w:tcW w:w="674" w:type="dxa"/>
            <w:vAlign w:val="center"/>
          </w:tcPr>
          <w:p w:rsidR="000B609E" w:rsidRDefault="00DF783A">
            <w:pPr>
              <w:spacing w:afterLines="0" w:after="0"/>
              <w:ind w:firstLineChars="0" w:firstLine="0"/>
              <w:jc w:val="right"/>
              <w:rPr>
                <w:rFonts w:ascii="Arial Narrow" w:hAnsi="Arial Narrow" w:cs="宋体"/>
                <w:b/>
                <w:bCs/>
                <w:color w:val="000000"/>
                <w:sz w:val="18"/>
                <w:szCs w:val="18"/>
              </w:rPr>
            </w:pPr>
            <w:r>
              <w:rPr>
                <w:rFonts w:ascii="Arial Narrow" w:hAnsi="Arial Narrow" w:cs="宋体" w:hint="eastAsia"/>
                <w:b/>
                <w:bCs/>
                <w:color w:val="000000"/>
                <w:sz w:val="18"/>
                <w:szCs w:val="18"/>
              </w:rPr>
              <w:t>-</w:t>
            </w:r>
          </w:p>
        </w:tc>
      </w:tr>
    </w:tbl>
    <w:p w:rsidR="000B609E" w:rsidRDefault="00B220E1">
      <w:pPr>
        <w:pStyle w:val="11"/>
        <w:numPr>
          <w:ilvl w:val="0"/>
          <w:numId w:val="24"/>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equity proportion of</w:t>
      </w:r>
      <w:r>
        <w:t xml:space="preserve"> </w:t>
      </w:r>
      <w:r>
        <w:rPr>
          <w:rFonts w:ascii="Times New Roman" w:hAnsi="Times New Roman" w:cs="Times New Roman"/>
          <w:sz w:val="24"/>
          <w:szCs w:val="24"/>
        </w:rPr>
        <w:t xml:space="preserve">Jiangsu </w:t>
      </w:r>
      <w:proofErr w:type="spellStart"/>
      <w:r>
        <w:rPr>
          <w:rFonts w:ascii="Times New Roman" w:hAnsi="Times New Roman" w:cs="Times New Roman"/>
          <w:sz w:val="24"/>
          <w:szCs w:val="24"/>
        </w:rPr>
        <w:t>Taixing</w:t>
      </w:r>
      <w:proofErr w:type="spellEnd"/>
      <w:r>
        <w:rPr>
          <w:rFonts w:ascii="Times New Roman" w:hAnsi="Times New Roman" w:cs="Times New Roman"/>
          <w:sz w:val="24"/>
          <w:szCs w:val="24"/>
        </w:rPr>
        <w:t xml:space="preserve"> Rural Commercial Bank held by the </w:t>
      </w:r>
      <w:r>
        <w:rPr>
          <w:rFonts w:ascii="Times New Roman" w:hAnsi="Times New Roman" w:cs="Times New Roman" w:hint="eastAsia"/>
          <w:sz w:val="24"/>
          <w:szCs w:val="24"/>
        </w:rPr>
        <w:t>bank</w:t>
      </w:r>
      <w:r>
        <w:rPr>
          <w:rFonts w:ascii="Times New Roman" w:hAnsi="Times New Roman" w:cs="Times New Roman"/>
          <w:sz w:val="24"/>
          <w:szCs w:val="24"/>
        </w:rPr>
        <w:t xml:space="preserve"> </w:t>
      </w:r>
      <w:r>
        <w:rPr>
          <w:rFonts w:ascii="Times New Roman" w:hAnsi="Times New Roman" w:cs="Times New Roman" w:hint="eastAsia"/>
          <w:sz w:val="24"/>
          <w:szCs w:val="24"/>
        </w:rPr>
        <w:t>is</w:t>
      </w:r>
      <w:r>
        <w:rPr>
          <w:rFonts w:ascii="Times New Roman" w:hAnsi="Times New Roman" w:cs="Times New Roman"/>
          <w:sz w:val="24"/>
          <w:szCs w:val="24"/>
        </w:rPr>
        <w:t xml:space="preserve"> 1</w:t>
      </w:r>
      <w:r>
        <w:rPr>
          <w:rFonts w:ascii="Times New Roman" w:hAnsi="Times New Roman" w:cs="Times New Roman" w:hint="eastAsia"/>
          <w:sz w:val="24"/>
          <w:szCs w:val="24"/>
        </w:rPr>
        <w:t>3</w:t>
      </w:r>
      <w:r>
        <w:rPr>
          <w:rFonts w:ascii="Times New Roman" w:hAnsi="Times New Roman" w:cs="Times New Roman"/>
          <w:sz w:val="24"/>
          <w:szCs w:val="24"/>
        </w:rPr>
        <w:t>%</w:t>
      </w:r>
      <w:r>
        <w:rPr>
          <w:rFonts w:ascii="Times New Roman" w:hAnsi="Times New Roman" w:cs="Times New Roman" w:hint="eastAsia"/>
          <w:sz w:val="24"/>
          <w:szCs w:val="24"/>
        </w:rPr>
        <w:t>. As the biggest shareholder, the bank has appointed a director</w:t>
      </w:r>
      <w:r>
        <w:rPr>
          <w:rFonts w:ascii="Times New Roman" w:hAnsi="Times New Roman" w:cs="Times New Roman"/>
          <w:sz w:val="24"/>
          <w:szCs w:val="24"/>
        </w:rPr>
        <w:t xml:space="preserve"> and is able to have significant influence on this entity</w:t>
      </w:r>
      <w:r>
        <w:rPr>
          <w:rFonts w:ascii="Times New Roman" w:hAnsi="Times New Roman" w:cs="Times New Roman" w:hint="eastAsia"/>
          <w:sz w:val="24"/>
          <w:szCs w:val="24"/>
        </w:rPr>
        <w:t xml:space="preserve">. Therefore, </w:t>
      </w:r>
      <w:r>
        <w:rPr>
          <w:rFonts w:ascii="Times New Roman" w:hAnsi="Times New Roman" w:cs="Times New Roman"/>
          <w:sz w:val="24"/>
          <w:szCs w:val="24"/>
        </w:rPr>
        <w:t xml:space="preserve">using the equity method to account the long-term equity investment in Jiangsu </w:t>
      </w:r>
      <w:proofErr w:type="spellStart"/>
      <w:r>
        <w:rPr>
          <w:rFonts w:ascii="Times New Roman" w:hAnsi="Times New Roman" w:cs="Times New Roman"/>
          <w:sz w:val="24"/>
          <w:szCs w:val="24"/>
        </w:rPr>
        <w:t>Taixing</w:t>
      </w:r>
      <w:proofErr w:type="spellEnd"/>
      <w:r>
        <w:rPr>
          <w:rFonts w:ascii="Times New Roman" w:hAnsi="Times New Roman" w:cs="Times New Roman"/>
          <w:sz w:val="24"/>
          <w:szCs w:val="24"/>
        </w:rPr>
        <w:t xml:space="preserve"> Rural Commercial Bank.</w:t>
      </w:r>
    </w:p>
    <w:p w:rsidR="000B609E" w:rsidRDefault="00B220E1">
      <w:pPr>
        <w:pStyle w:val="11"/>
        <w:numPr>
          <w:ilvl w:val="0"/>
          <w:numId w:val="24"/>
        </w:numPr>
        <w:spacing w:beforeLines="50" w:before="156" w:afterLines="0" w:line="360" w:lineRule="auto"/>
        <w:ind w:left="0" w:firstLine="480"/>
        <w:rPr>
          <w:rFonts w:ascii="Times New Roman" w:hAnsi="Times New Roman" w:cs="Times New Roman"/>
          <w:sz w:val="24"/>
          <w:szCs w:val="24"/>
        </w:rPr>
      </w:pPr>
      <w:r>
        <w:rPr>
          <w:rFonts w:ascii="Times New Roman" w:hAnsi="Times New Roman" w:cs="Times New Roman"/>
          <w:sz w:val="24"/>
          <w:szCs w:val="24"/>
        </w:rPr>
        <w:t>The equity proportion of</w:t>
      </w:r>
      <w:r>
        <w:t xml:space="preserve"> </w:t>
      </w:r>
      <w:r>
        <w:rPr>
          <w:rFonts w:ascii="Times New Roman" w:hAnsi="Times New Roman" w:cs="Times New Roman"/>
          <w:sz w:val="24"/>
          <w:szCs w:val="24"/>
        </w:rPr>
        <w:t xml:space="preserve">Jiangsu </w:t>
      </w:r>
      <w:proofErr w:type="spellStart"/>
      <w:r>
        <w:rPr>
          <w:rFonts w:ascii="Times New Roman" w:hAnsi="Times New Roman" w:cs="Times New Roman" w:hint="eastAsia"/>
          <w:sz w:val="24"/>
          <w:szCs w:val="24"/>
        </w:rPr>
        <w:t>Suining</w:t>
      </w:r>
      <w:proofErr w:type="spellEnd"/>
      <w:r>
        <w:rPr>
          <w:rFonts w:ascii="Times New Roman" w:hAnsi="Times New Roman" w:cs="Times New Roman"/>
          <w:sz w:val="24"/>
          <w:szCs w:val="24"/>
        </w:rPr>
        <w:t xml:space="preserve"> Rural Commercial Bank held by the </w:t>
      </w:r>
      <w:r>
        <w:rPr>
          <w:rFonts w:ascii="Times New Roman" w:hAnsi="Times New Roman" w:cs="Times New Roman" w:hint="eastAsia"/>
          <w:sz w:val="24"/>
          <w:szCs w:val="24"/>
        </w:rPr>
        <w:t>bank</w:t>
      </w:r>
      <w:r>
        <w:rPr>
          <w:rFonts w:ascii="Times New Roman" w:hAnsi="Times New Roman" w:cs="Times New Roman"/>
          <w:sz w:val="24"/>
          <w:szCs w:val="24"/>
        </w:rPr>
        <w:t xml:space="preserve"> </w:t>
      </w:r>
      <w:r>
        <w:rPr>
          <w:rFonts w:ascii="Times New Roman" w:hAnsi="Times New Roman" w:cs="Times New Roman" w:hint="eastAsia"/>
          <w:sz w:val="24"/>
          <w:szCs w:val="24"/>
        </w:rPr>
        <w:t>is</w:t>
      </w:r>
      <w:r>
        <w:rPr>
          <w:rFonts w:ascii="Times New Roman" w:hAnsi="Times New Roman" w:cs="Times New Roman"/>
          <w:sz w:val="24"/>
          <w:szCs w:val="24"/>
        </w:rPr>
        <w:t xml:space="preserve"> </w:t>
      </w:r>
      <w:r>
        <w:rPr>
          <w:rFonts w:ascii="Times New Roman" w:hAnsi="Times New Roman" w:cs="Times New Roman" w:hint="eastAsia"/>
          <w:sz w:val="24"/>
          <w:szCs w:val="24"/>
        </w:rPr>
        <w:t>9.43</w:t>
      </w:r>
      <w:r>
        <w:rPr>
          <w:rFonts w:ascii="Times New Roman" w:hAnsi="Times New Roman" w:cs="Times New Roman"/>
          <w:sz w:val="24"/>
          <w:szCs w:val="24"/>
        </w:rPr>
        <w:t>%</w:t>
      </w:r>
      <w:r>
        <w:rPr>
          <w:rFonts w:ascii="Times New Roman" w:hAnsi="Times New Roman" w:cs="Times New Roman" w:hint="eastAsia"/>
          <w:sz w:val="24"/>
          <w:szCs w:val="24"/>
        </w:rPr>
        <w:t>. As a shareholder, the bank has appointed a director</w:t>
      </w:r>
      <w:r>
        <w:rPr>
          <w:rFonts w:ascii="Times New Roman" w:hAnsi="Times New Roman" w:cs="Times New Roman"/>
          <w:sz w:val="24"/>
          <w:szCs w:val="24"/>
        </w:rPr>
        <w:t xml:space="preserve"> and is able to have significant influence on this entity</w:t>
      </w:r>
      <w:r>
        <w:rPr>
          <w:rFonts w:ascii="Times New Roman" w:hAnsi="Times New Roman" w:cs="Times New Roman" w:hint="eastAsia"/>
          <w:sz w:val="24"/>
          <w:szCs w:val="24"/>
        </w:rPr>
        <w:t xml:space="preserve">. Therefore, </w:t>
      </w:r>
      <w:r>
        <w:rPr>
          <w:rFonts w:ascii="Times New Roman" w:hAnsi="Times New Roman" w:cs="Times New Roman"/>
          <w:sz w:val="24"/>
          <w:szCs w:val="24"/>
        </w:rPr>
        <w:t xml:space="preserve">using the equity method to account the long-term equity investment in Jiangsu </w:t>
      </w:r>
      <w:proofErr w:type="spellStart"/>
      <w:r>
        <w:rPr>
          <w:rFonts w:ascii="Times New Roman" w:hAnsi="Times New Roman" w:cs="Times New Roman" w:hint="eastAsia"/>
          <w:sz w:val="24"/>
          <w:szCs w:val="24"/>
        </w:rPr>
        <w:t>Suining</w:t>
      </w:r>
      <w:proofErr w:type="spellEnd"/>
      <w:r>
        <w:rPr>
          <w:rFonts w:ascii="Times New Roman" w:hAnsi="Times New Roman" w:cs="Times New Roman"/>
          <w:sz w:val="24"/>
          <w:szCs w:val="24"/>
        </w:rPr>
        <w:t xml:space="preserve"> Rural Commercial Bank.</w:t>
      </w:r>
    </w:p>
    <w:p w:rsidR="000B609E" w:rsidRDefault="00B220E1">
      <w:pPr>
        <w:pStyle w:val="11"/>
        <w:numPr>
          <w:ilvl w:val="0"/>
          <w:numId w:val="24"/>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At the end of the year, there were no obvious signs of impairment for long-term equity investments.</w:t>
      </w:r>
    </w:p>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11. Investment Real Estates</w:t>
      </w:r>
    </w:p>
    <w:tbl>
      <w:tblPr>
        <w:tblW w:w="9847" w:type="dxa"/>
        <w:jc w:val="center"/>
        <w:tblBorders>
          <w:top w:val="double" w:sz="4" w:space="0" w:color="auto"/>
          <w:bottom w:val="double" w:sz="4" w:space="0" w:color="auto"/>
          <w:insideH w:val="single" w:sz="2" w:space="0" w:color="auto"/>
          <w:insideV w:val="single" w:sz="2" w:space="0" w:color="auto"/>
        </w:tblBorders>
        <w:tblLayout w:type="fixed"/>
        <w:tblLook w:val="04A0" w:firstRow="1" w:lastRow="0" w:firstColumn="1" w:lastColumn="0" w:noHBand="0" w:noVBand="1"/>
      </w:tblPr>
      <w:tblGrid>
        <w:gridCol w:w="3981"/>
        <w:gridCol w:w="2690"/>
        <w:gridCol w:w="3176"/>
      </w:tblGrid>
      <w:tr w:rsidR="000B609E">
        <w:trPr>
          <w:trHeight w:val="20"/>
          <w:tblHeader/>
          <w:jc w:val="center"/>
        </w:trPr>
        <w:tc>
          <w:tcPr>
            <w:tcW w:w="3981" w:type="dxa"/>
          </w:tcPr>
          <w:p w:rsidR="000B609E" w:rsidRDefault="00B220E1">
            <w:pPr>
              <w:autoSpaceDE w:val="0"/>
              <w:autoSpaceDN w:val="0"/>
              <w:spacing w:afterLines="0" w:after="0"/>
              <w:ind w:firstLine="361"/>
              <w:jc w:val="center"/>
              <w:rPr>
                <w:rFonts w:ascii="Arial Narrow" w:eastAsia="宋体" w:hAnsi="Arial Narrow" w:cs="Times New Roman"/>
                <w:snapToGrid w:val="0"/>
                <w:kern w:val="0"/>
                <w:sz w:val="18"/>
                <w:szCs w:val="18"/>
                <w:lang w:val="en-GB"/>
              </w:rPr>
            </w:pPr>
            <w:r>
              <w:rPr>
                <w:rFonts w:ascii="Times New Roman" w:eastAsia="宋体" w:hAnsi="Times New Roman" w:cs="Times New Roman"/>
                <w:b/>
                <w:color w:val="000000"/>
                <w:kern w:val="0"/>
                <w:sz w:val="18"/>
                <w:szCs w:val="18"/>
              </w:rPr>
              <w:t>Items</w:t>
            </w:r>
          </w:p>
        </w:tc>
        <w:tc>
          <w:tcPr>
            <w:tcW w:w="2690" w:type="dxa"/>
            <w:vAlign w:val="center"/>
          </w:tcPr>
          <w:p w:rsidR="000B609E" w:rsidRDefault="00B220E1">
            <w:pPr>
              <w:autoSpaceDE w:val="0"/>
              <w:autoSpaceDN w:val="0"/>
              <w:spacing w:afterLines="0" w:after="0"/>
              <w:ind w:firstLine="361"/>
              <w:jc w:val="center"/>
              <w:rPr>
                <w:rFonts w:ascii="Times New Roman" w:eastAsia="宋体" w:hAnsi="Times New Roman" w:cs="Times New Roman"/>
                <w:b/>
                <w:snapToGrid w:val="0"/>
                <w:kern w:val="0"/>
                <w:sz w:val="18"/>
                <w:szCs w:val="18"/>
              </w:rPr>
            </w:pPr>
            <w:r>
              <w:rPr>
                <w:rFonts w:ascii="Times New Roman" w:eastAsia="宋体" w:hAnsi="Times New Roman" w:cs="Times New Roman"/>
                <w:b/>
                <w:snapToGrid w:val="0"/>
                <w:kern w:val="0"/>
                <w:sz w:val="18"/>
                <w:szCs w:val="18"/>
                <w:lang w:val="en-GB"/>
              </w:rPr>
              <w:t>Building</w:t>
            </w:r>
            <w:r>
              <w:rPr>
                <w:rFonts w:ascii="Times New Roman" w:eastAsia="宋体" w:hAnsi="Times New Roman" w:cs="Times New Roman" w:hint="eastAsia"/>
                <w:b/>
                <w:snapToGrid w:val="0"/>
                <w:kern w:val="0"/>
                <w:sz w:val="18"/>
                <w:szCs w:val="18"/>
              </w:rPr>
              <w:t>s</w:t>
            </w:r>
          </w:p>
        </w:tc>
        <w:tc>
          <w:tcPr>
            <w:tcW w:w="3176" w:type="dxa"/>
            <w:vAlign w:val="center"/>
          </w:tcPr>
          <w:p w:rsidR="000B609E" w:rsidRDefault="00B220E1">
            <w:pPr>
              <w:autoSpaceDE w:val="0"/>
              <w:autoSpaceDN w:val="0"/>
              <w:spacing w:afterLines="0" w:after="0"/>
              <w:ind w:firstLine="361"/>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snapToGrid w:val="0"/>
                <w:kern w:val="0"/>
                <w:sz w:val="18"/>
                <w:szCs w:val="18"/>
                <w:lang w:val="en-GB"/>
              </w:rPr>
              <w:t>Total</w:t>
            </w:r>
          </w:p>
        </w:tc>
      </w:tr>
      <w:tr w:rsidR="000B609E">
        <w:trPr>
          <w:trHeight w:hRule="exact" w:val="454"/>
          <w:jc w:val="center"/>
        </w:trPr>
        <w:tc>
          <w:tcPr>
            <w:tcW w:w="3981" w:type="dxa"/>
            <w:vAlign w:val="center"/>
          </w:tcPr>
          <w:p w:rsidR="000B609E" w:rsidRDefault="00B220E1">
            <w:pPr>
              <w:autoSpaceDE w:val="0"/>
              <w:autoSpaceDN w:val="0"/>
              <w:spacing w:afterLines="0" w:after="0"/>
              <w:ind w:firstLine="361"/>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Book value</w:t>
            </w:r>
          </w:p>
        </w:tc>
        <w:tc>
          <w:tcPr>
            <w:tcW w:w="2690" w:type="dxa"/>
            <w:vAlign w:val="center"/>
          </w:tcPr>
          <w:p w:rsidR="000B609E" w:rsidRDefault="000B609E">
            <w:pPr>
              <w:spacing w:afterLines="0" w:after="0"/>
              <w:ind w:firstLine="400"/>
              <w:jc w:val="right"/>
              <w:rPr>
                <w:rFonts w:ascii="Arial Narrow" w:eastAsia="宋体" w:hAnsi="Arial Narrow" w:cs="Times New Roman"/>
                <w:snapToGrid w:val="0"/>
                <w:color w:val="000000"/>
                <w:kern w:val="0"/>
                <w:sz w:val="20"/>
                <w:szCs w:val="20"/>
                <w:lang w:val="en-GB" w:eastAsia="en-US"/>
              </w:rPr>
            </w:pPr>
          </w:p>
        </w:tc>
        <w:tc>
          <w:tcPr>
            <w:tcW w:w="3176" w:type="dxa"/>
            <w:vAlign w:val="center"/>
          </w:tcPr>
          <w:p w:rsidR="000B609E" w:rsidRDefault="000B609E">
            <w:pPr>
              <w:spacing w:afterLines="0" w:after="0"/>
              <w:ind w:firstLine="400"/>
              <w:jc w:val="right"/>
              <w:rPr>
                <w:rFonts w:ascii="Arial Narrow" w:eastAsia="宋体" w:hAnsi="Arial Narrow" w:cs="Times New Roman"/>
                <w:snapToGrid w:val="0"/>
                <w:color w:val="000000"/>
                <w:kern w:val="0"/>
                <w:sz w:val="20"/>
                <w:szCs w:val="20"/>
                <w:lang w:val="en-GB" w:eastAsia="en-US"/>
              </w:rPr>
            </w:pPr>
          </w:p>
        </w:tc>
      </w:tr>
      <w:tr w:rsidR="000B609E">
        <w:trPr>
          <w:trHeight w:hRule="exact" w:val="422"/>
          <w:jc w:val="center"/>
        </w:trPr>
        <w:tc>
          <w:tcPr>
            <w:tcW w:w="3981"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eastAsia="en-US"/>
              </w:rPr>
              <w:t>1.</w:t>
            </w:r>
            <w:r>
              <w:rPr>
                <w:rFonts w:ascii="Times New Roman" w:eastAsia="宋体" w:hAnsi="Times New Roman" w:cs="Times New Roman"/>
                <w:snapToGrid w:val="0"/>
                <w:kern w:val="0"/>
                <w:sz w:val="18"/>
                <w:szCs w:val="18"/>
                <w:lang w:val="en-GB"/>
              </w:rPr>
              <w:t>Beginning balance</w:t>
            </w:r>
          </w:p>
        </w:tc>
        <w:tc>
          <w:tcPr>
            <w:tcW w:w="2690" w:type="dxa"/>
            <w:vAlign w:val="center"/>
          </w:tcPr>
          <w:p w:rsidR="000B609E" w:rsidRPr="00402409" w:rsidRDefault="00B220E1">
            <w:pPr>
              <w:spacing w:afterLines="0" w:after="0"/>
              <w:ind w:firstLineChars="0" w:firstLine="0"/>
              <w:jc w:val="right"/>
              <w:rPr>
                <w:rFonts w:ascii="Arial Narrow" w:hAnsi="Arial Narrow" w:cs="宋体"/>
                <w:sz w:val="20"/>
                <w:szCs w:val="20"/>
              </w:rPr>
            </w:pPr>
            <w:r w:rsidRPr="00402409">
              <w:rPr>
                <w:rFonts w:ascii="Arial Narrow" w:hAnsi="Arial Narrow" w:cs="宋体" w:hint="eastAsia"/>
                <w:sz w:val="20"/>
                <w:szCs w:val="20"/>
              </w:rPr>
              <w:t xml:space="preserve"> 31,105,199.50 </w:t>
            </w:r>
          </w:p>
        </w:tc>
        <w:tc>
          <w:tcPr>
            <w:tcW w:w="3176" w:type="dxa"/>
            <w:vAlign w:val="center"/>
          </w:tcPr>
          <w:p w:rsidR="000B609E" w:rsidRPr="00402409" w:rsidRDefault="00B220E1">
            <w:pPr>
              <w:spacing w:afterLines="0" w:after="0"/>
              <w:ind w:firstLineChars="0" w:firstLine="0"/>
              <w:jc w:val="right"/>
              <w:rPr>
                <w:rFonts w:ascii="Arial Narrow" w:hAnsi="Arial Narrow" w:cs="宋体"/>
                <w:b/>
                <w:sz w:val="20"/>
                <w:szCs w:val="20"/>
              </w:rPr>
            </w:pPr>
            <w:r w:rsidRPr="00402409">
              <w:rPr>
                <w:rFonts w:ascii="Arial Narrow" w:hAnsi="Arial Narrow" w:cs="宋体" w:hint="eastAsia"/>
                <w:b/>
                <w:sz w:val="20"/>
                <w:szCs w:val="20"/>
              </w:rPr>
              <w:t xml:space="preserve"> 31,105,199.50 </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2.Increase in the current year</w:t>
            </w:r>
          </w:p>
        </w:tc>
        <w:tc>
          <w:tcPr>
            <w:tcW w:w="269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3176"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Purchase</w:t>
            </w:r>
          </w:p>
        </w:tc>
        <w:tc>
          <w:tcPr>
            <w:tcW w:w="269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3176"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lastRenderedPageBreak/>
              <w:t>Construction in progress</w:t>
            </w:r>
          </w:p>
        </w:tc>
        <w:tc>
          <w:tcPr>
            <w:tcW w:w="269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3176"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Business combinations</w:t>
            </w:r>
          </w:p>
        </w:tc>
        <w:tc>
          <w:tcPr>
            <w:tcW w:w="269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3176"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3.Decrease in the current year</w:t>
            </w:r>
          </w:p>
        </w:tc>
        <w:tc>
          <w:tcPr>
            <w:tcW w:w="269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3176"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Disposal</w:t>
            </w:r>
          </w:p>
        </w:tc>
        <w:tc>
          <w:tcPr>
            <w:tcW w:w="269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3176"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Business combinations</w:t>
            </w:r>
          </w:p>
        </w:tc>
        <w:tc>
          <w:tcPr>
            <w:tcW w:w="269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3176"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Other</w:t>
            </w:r>
          </w:p>
        </w:tc>
        <w:tc>
          <w:tcPr>
            <w:tcW w:w="269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3176"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hAnsi="Arial Narrow" w:hint="eastAsia"/>
                <w:b/>
                <w:bCs/>
                <w:sz w:val="20"/>
                <w:szCs w:val="20"/>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4.Ending balance</w:t>
            </w:r>
          </w:p>
        </w:tc>
        <w:tc>
          <w:tcPr>
            <w:tcW w:w="2690" w:type="dxa"/>
            <w:vAlign w:val="center"/>
          </w:tcPr>
          <w:p w:rsidR="000B609E" w:rsidRPr="00F00F08" w:rsidRDefault="00B220E1" w:rsidP="00F00F08">
            <w:pPr>
              <w:spacing w:afterLines="0" w:after="0"/>
              <w:ind w:firstLineChars="0" w:firstLine="0"/>
              <w:jc w:val="right"/>
              <w:rPr>
                <w:rFonts w:ascii="Arial Narrow" w:hAnsi="Arial Narrow"/>
                <w:bCs/>
                <w:sz w:val="20"/>
                <w:szCs w:val="20"/>
              </w:rPr>
            </w:pPr>
            <w:r w:rsidRPr="00F00F08">
              <w:rPr>
                <w:rFonts w:ascii="Arial Narrow" w:hAnsi="Arial Narrow"/>
                <w:bCs/>
                <w:sz w:val="20"/>
                <w:szCs w:val="20"/>
              </w:rPr>
              <w:t>31,105,199.50</w:t>
            </w:r>
          </w:p>
        </w:tc>
        <w:tc>
          <w:tcPr>
            <w:tcW w:w="3176" w:type="dxa"/>
            <w:vAlign w:val="center"/>
          </w:tcPr>
          <w:p w:rsidR="000B609E" w:rsidRPr="00F00F08" w:rsidRDefault="00B220E1" w:rsidP="00F00F08">
            <w:pPr>
              <w:spacing w:afterLines="0" w:after="0"/>
              <w:ind w:firstLineChars="0" w:firstLine="0"/>
              <w:jc w:val="right"/>
              <w:rPr>
                <w:rFonts w:ascii="Arial Narrow" w:hAnsi="Arial Narrow"/>
                <w:b/>
                <w:bCs/>
                <w:sz w:val="20"/>
                <w:szCs w:val="20"/>
              </w:rPr>
            </w:pPr>
            <w:r w:rsidRPr="00F00F08">
              <w:rPr>
                <w:rFonts w:ascii="Arial Narrow" w:hAnsi="Arial Narrow"/>
                <w:b/>
                <w:bCs/>
                <w:sz w:val="20"/>
                <w:szCs w:val="20"/>
              </w:rPr>
              <w:t>31,105,199.50</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Accumulated depreciation</w:t>
            </w:r>
          </w:p>
        </w:tc>
        <w:tc>
          <w:tcPr>
            <w:tcW w:w="2690" w:type="dxa"/>
            <w:vAlign w:val="center"/>
          </w:tcPr>
          <w:p w:rsidR="000B609E" w:rsidRDefault="000B609E">
            <w:pPr>
              <w:spacing w:afterLines="0" w:after="0"/>
              <w:ind w:firstLineChars="0" w:firstLine="0"/>
              <w:jc w:val="right"/>
              <w:rPr>
                <w:rFonts w:ascii="Arial Narrow" w:eastAsia="宋体" w:hAnsi="Arial Narrow" w:cs="Arial Narrow"/>
                <w:snapToGrid w:val="0"/>
                <w:kern w:val="0"/>
                <w:sz w:val="20"/>
                <w:szCs w:val="20"/>
                <w:lang w:val="en-GB" w:eastAsia="en-US"/>
              </w:rPr>
            </w:pPr>
          </w:p>
        </w:tc>
        <w:tc>
          <w:tcPr>
            <w:tcW w:w="3176" w:type="dxa"/>
            <w:vAlign w:val="center"/>
          </w:tcPr>
          <w:p w:rsidR="000B609E" w:rsidRPr="00402409" w:rsidRDefault="000B609E">
            <w:pPr>
              <w:spacing w:afterLines="0" w:after="0"/>
              <w:ind w:firstLineChars="0" w:firstLine="0"/>
              <w:jc w:val="right"/>
              <w:rPr>
                <w:rFonts w:ascii="Arial Narrow" w:eastAsia="宋体" w:hAnsi="Arial Narrow" w:cs="Arial Narrow"/>
                <w:b/>
                <w:bCs/>
                <w:snapToGrid w:val="0"/>
                <w:kern w:val="0"/>
                <w:sz w:val="20"/>
                <w:szCs w:val="20"/>
                <w:lang w:val="en-GB" w:eastAsia="en-US"/>
              </w:rPr>
            </w:pPr>
          </w:p>
        </w:tc>
      </w:tr>
      <w:tr w:rsidR="000B609E">
        <w:trPr>
          <w:trHeight w:hRule="exact" w:val="454"/>
          <w:jc w:val="center"/>
        </w:trPr>
        <w:tc>
          <w:tcPr>
            <w:tcW w:w="3981"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1.Beginning balance</w:t>
            </w:r>
          </w:p>
        </w:tc>
        <w:tc>
          <w:tcPr>
            <w:tcW w:w="2690" w:type="dxa"/>
            <w:vAlign w:val="center"/>
          </w:tcPr>
          <w:p w:rsidR="000B609E" w:rsidRPr="00402409" w:rsidRDefault="00B220E1">
            <w:pPr>
              <w:spacing w:afterLines="0" w:after="0"/>
              <w:ind w:firstLineChars="0" w:firstLine="0"/>
              <w:jc w:val="right"/>
              <w:rPr>
                <w:rFonts w:ascii="Arial Narrow" w:eastAsia="宋体" w:hAnsi="Arial Narrow" w:cs="Arial Narrow"/>
                <w:snapToGrid w:val="0"/>
                <w:kern w:val="0"/>
                <w:sz w:val="20"/>
                <w:szCs w:val="20"/>
                <w:lang w:val="en-GB"/>
              </w:rPr>
            </w:pPr>
            <w:r w:rsidRPr="00402409">
              <w:rPr>
                <w:rFonts w:ascii="Arial Narrow" w:hAnsi="Arial Narrow" w:hint="eastAsia"/>
                <w:bCs/>
                <w:sz w:val="20"/>
                <w:szCs w:val="20"/>
              </w:rPr>
              <w:t xml:space="preserve"> 24,225,496.67 </w:t>
            </w:r>
          </w:p>
        </w:tc>
        <w:tc>
          <w:tcPr>
            <w:tcW w:w="3176" w:type="dxa"/>
            <w:vAlign w:val="center"/>
          </w:tcPr>
          <w:p w:rsidR="000B609E" w:rsidRPr="00402409"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sidRPr="00402409">
              <w:rPr>
                <w:rFonts w:ascii="Arial Narrow" w:hAnsi="Arial Narrow" w:hint="eastAsia"/>
                <w:b/>
                <w:bCs/>
                <w:sz w:val="20"/>
                <w:szCs w:val="20"/>
              </w:rPr>
              <w:t xml:space="preserve"> 24,225,496.67 </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2.Increase in the current year</w:t>
            </w:r>
          </w:p>
        </w:tc>
        <w:tc>
          <w:tcPr>
            <w:tcW w:w="269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hAnsi="Arial Narrow" w:cs="宋体"/>
                <w:sz w:val="20"/>
                <w:szCs w:val="20"/>
              </w:rPr>
              <w:t>1,490,375.72</w:t>
            </w:r>
          </w:p>
        </w:tc>
        <w:tc>
          <w:tcPr>
            <w:tcW w:w="3176" w:type="dxa"/>
            <w:vAlign w:val="center"/>
          </w:tcPr>
          <w:p w:rsidR="000B609E" w:rsidRPr="00402409" w:rsidRDefault="00B220E1">
            <w:pPr>
              <w:spacing w:afterLines="0" w:after="0"/>
              <w:ind w:firstLineChars="0" w:firstLine="0"/>
              <w:jc w:val="right"/>
              <w:rPr>
                <w:rFonts w:ascii="Arial Narrow" w:eastAsia="宋体" w:hAnsi="Arial Narrow" w:cs="Arial Narrow"/>
                <w:b/>
                <w:bCs/>
                <w:snapToGrid w:val="0"/>
                <w:kern w:val="0"/>
                <w:sz w:val="20"/>
                <w:szCs w:val="20"/>
                <w:lang w:val="en-GB" w:eastAsia="en-US"/>
              </w:rPr>
            </w:pPr>
            <w:r w:rsidRPr="00402409">
              <w:rPr>
                <w:rFonts w:ascii="Arial Narrow" w:hAnsi="Arial Narrow" w:cs="宋体"/>
                <w:b/>
                <w:sz w:val="20"/>
                <w:szCs w:val="20"/>
              </w:rPr>
              <w:t>1,490,375.72</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Provision</w:t>
            </w:r>
          </w:p>
        </w:tc>
        <w:tc>
          <w:tcPr>
            <w:tcW w:w="269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hAnsi="Arial Narrow" w:hint="eastAsia"/>
                <w:sz w:val="20"/>
                <w:szCs w:val="20"/>
              </w:rPr>
              <w:t>-</w:t>
            </w:r>
          </w:p>
        </w:tc>
        <w:tc>
          <w:tcPr>
            <w:tcW w:w="3176"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hAnsi="Arial Narrow" w:hint="eastAsia"/>
                <w:b/>
                <w:bCs/>
                <w:sz w:val="20"/>
                <w:szCs w:val="20"/>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3.Decrease in the current year</w:t>
            </w:r>
          </w:p>
        </w:tc>
        <w:tc>
          <w:tcPr>
            <w:tcW w:w="269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hAnsi="Arial Narrow" w:hint="eastAsia"/>
                <w:sz w:val="20"/>
                <w:szCs w:val="20"/>
              </w:rPr>
              <w:t>-</w:t>
            </w:r>
          </w:p>
        </w:tc>
        <w:tc>
          <w:tcPr>
            <w:tcW w:w="3176"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hAnsi="Arial Narrow" w:hint="eastAsia"/>
                <w:b/>
                <w:bCs/>
                <w:sz w:val="20"/>
                <w:szCs w:val="20"/>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Disposal</w:t>
            </w:r>
          </w:p>
        </w:tc>
        <w:tc>
          <w:tcPr>
            <w:tcW w:w="269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3176"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Business combination</w:t>
            </w:r>
          </w:p>
        </w:tc>
        <w:tc>
          <w:tcPr>
            <w:tcW w:w="269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lang w:val="en-GB"/>
              </w:rPr>
              <w:t>-</w:t>
            </w:r>
          </w:p>
        </w:tc>
        <w:tc>
          <w:tcPr>
            <w:tcW w:w="3176"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eastAsia="宋体" w:hAnsi="Arial Narrow" w:cs="Arial Narrow" w:hint="eastAsia"/>
                <w:b/>
                <w:bCs/>
                <w:snapToGrid w:val="0"/>
                <w:kern w:val="0"/>
                <w:sz w:val="20"/>
                <w:szCs w:val="20"/>
                <w:lang w:val="en-GB"/>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rPr>
              <w:t>Other</w:t>
            </w:r>
          </w:p>
        </w:tc>
        <w:tc>
          <w:tcPr>
            <w:tcW w:w="269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hAnsi="Arial Narrow" w:hint="eastAsia"/>
                <w:sz w:val="20"/>
                <w:szCs w:val="20"/>
              </w:rPr>
              <w:t>-</w:t>
            </w:r>
            <w:r>
              <w:rPr>
                <w:rFonts w:ascii="Arial Narrow" w:eastAsia="宋体" w:hAnsi="Arial Narrow" w:cs="Arial Narrow" w:hint="eastAsia"/>
                <w:snapToGrid w:val="0"/>
                <w:kern w:val="0"/>
                <w:sz w:val="20"/>
                <w:szCs w:val="20"/>
                <w:lang w:val="en-GB"/>
              </w:rPr>
              <w:t xml:space="preserve"> </w:t>
            </w:r>
          </w:p>
        </w:tc>
        <w:tc>
          <w:tcPr>
            <w:tcW w:w="3176"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eastAsia="en-US"/>
              </w:rPr>
            </w:pPr>
            <w:r>
              <w:rPr>
                <w:rFonts w:ascii="Arial Narrow" w:hAnsi="Arial Narrow" w:hint="eastAsia"/>
                <w:b/>
                <w:bCs/>
                <w:sz w:val="20"/>
                <w:szCs w:val="20"/>
              </w:rPr>
              <w:t>-</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4.Ending balance</w:t>
            </w:r>
          </w:p>
        </w:tc>
        <w:tc>
          <w:tcPr>
            <w:tcW w:w="2690" w:type="dxa"/>
            <w:vAlign w:val="center"/>
          </w:tcPr>
          <w:p w:rsidR="000B609E" w:rsidRPr="00F00F08" w:rsidRDefault="00B220E1" w:rsidP="00F00F08">
            <w:pPr>
              <w:spacing w:afterLines="0" w:after="0"/>
              <w:ind w:firstLineChars="0" w:firstLine="0"/>
              <w:jc w:val="right"/>
              <w:rPr>
                <w:rFonts w:ascii="Arial Narrow" w:hAnsi="Arial Narrow"/>
                <w:bCs/>
                <w:sz w:val="20"/>
                <w:szCs w:val="20"/>
              </w:rPr>
            </w:pPr>
            <w:r w:rsidRPr="00F00F08">
              <w:rPr>
                <w:rFonts w:ascii="Arial Narrow" w:hAnsi="Arial Narrow"/>
                <w:bCs/>
                <w:sz w:val="20"/>
                <w:szCs w:val="20"/>
              </w:rPr>
              <w:t>25,715,872.39</w:t>
            </w:r>
            <w:r>
              <w:rPr>
                <w:rFonts w:ascii="Arial Narrow" w:hAnsi="Arial Narrow" w:cs="宋体" w:hint="eastAsia"/>
                <w:b/>
                <w:bCs/>
                <w:sz w:val="20"/>
                <w:szCs w:val="20"/>
                <w:lang w:val="en-GB"/>
              </w:rPr>
              <w:t xml:space="preserve"> </w:t>
            </w:r>
          </w:p>
        </w:tc>
        <w:tc>
          <w:tcPr>
            <w:tcW w:w="3176" w:type="dxa"/>
            <w:vAlign w:val="center"/>
          </w:tcPr>
          <w:p w:rsidR="000B609E" w:rsidRPr="00F00F08" w:rsidRDefault="00B220E1" w:rsidP="00F00F08">
            <w:pPr>
              <w:spacing w:afterLines="0" w:after="0"/>
              <w:ind w:firstLineChars="0" w:firstLine="0"/>
              <w:jc w:val="right"/>
              <w:rPr>
                <w:rFonts w:ascii="Arial Narrow" w:hAnsi="Arial Narrow" w:cs="宋体"/>
                <w:b/>
                <w:bCs/>
                <w:sz w:val="20"/>
                <w:szCs w:val="20"/>
              </w:rPr>
            </w:pPr>
            <w:r>
              <w:rPr>
                <w:rFonts w:ascii="Arial Narrow" w:hAnsi="Arial Narrow" w:cs="宋体"/>
                <w:b/>
                <w:bCs/>
                <w:sz w:val="20"/>
                <w:szCs w:val="20"/>
              </w:rPr>
              <w:t>25,715,872.39</w:t>
            </w:r>
          </w:p>
        </w:tc>
      </w:tr>
      <w:tr w:rsidR="000B609E">
        <w:trPr>
          <w:trHeight w:hRule="exact" w:val="454"/>
          <w:jc w:val="center"/>
        </w:trPr>
        <w:tc>
          <w:tcPr>
            <w:tcW w:w="3981"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Impairment allowances</w:t>
            </w:r>
          </w:p>
        </w:tc>
        <w:tc>
          <w:tcPr>
            <w:tcW w:w="2690" w:type="dxa"/>
            <w:vAlign w:val="center"/>
          </w:tcPr>
          <w:p w:rsidR="000B609E" w:rsidRDefault="000B609E">
            <w:pPr>
              <w:spacing w:afterLines="0" w:after="0"/>
              <w:ind w:firstLineChars="0" w:firstLine="0"/>
              <w:jc w:val="right"/>
              <w:textAlignment w:val="bottom"/>
              <w:rPr>
                <w:rFonts w:ascii="Arial Narrow" w:hAnsi="Arial Narrow" w:cs="宋体"/>
                <w:color w:val="000000"/>
                <w:sz w:val="20"/>
                <w:szCs w:val="20"/>
                <w:lang w:val="en-GB" w:eastAsia="en-US"/>
              </w:rPr>
            </w:pPr>
          </w:p>
        </w:tc>
        <w:tc>
          <w:tcPr>
            <w:tcW w:w="3176" w:type="dxa"/>
            <w:vAlign w:val="center"/>
          </w:tcPr>
          <w:p w:rsidR="000B609E" w:rsidRDefault="000B609E">
            <w:pPr>
              <w:spacing w:afterLines="0" w:after="0"/>
              <w:ind w:firstLineChars="0" w:firstLine="0"/>
              <w:jc w:val="right"/>
              <w:rPr>
                <w:rFonts w:ascii="Arial Narrow" w:eastAsia="宋体" w:hAnsi="Arial Narrow" w:cs="Arial Narrow"/>
                <w:b/>
                <w:bCs/>
                <w:snapToGrid w:val="0"/>
                <w:kern w:val="0"/>
                <w:sz w:val="20"/>
                <w:szCs w:val="20"/>
                <w:lang w:val="en-GB" w:eastAsia="en-US"/>
              </w:rPr>
            </w:pPr>
          </w:p>
        </w:tc>
      </w:tr>
      <w:tr w:rsidR="000B609E">
        <w:trPr>
          <w:trHeight w:hRule="exact" w:val="454"/>
          <w:jc w:val="center"/>
        </w:trPr>
        <w:tc>
          <w:tcPr>
            <w:tcW w:w="3981"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Net book value</w:t>
            </w:r>
          </w:p>
        </w:tc>
        <w:tc>
          <w:tcPr>
            <w:tcW w:w="2690" w:type="dxa"/>
            <w:vAlign w:val="center"/>
          </w:tcPr>
          <w:p w:rsidR="000B609E" w:rsidRDefault="000B609E">
            <w:pPr>
              <w:spacing w:afterLines="0" w:after="0"/>
              <w:ind w:firstLine="400"/>
              <w:jc w:val="right"/>
              <w:rPr>
                <w:rFonts w:ascii="Arial Narrow" w:eastAsia="宋体" w:hAnsi="Arial Narrow" w:cs="Times New Roman"/>
                <w:snapToGrid w:val="0"/>
                <w:color w:val="000000"/>
                <w:kern w:val="0"/>
                <w:sz w:val="20"/>
                <w:szCs w:val="20"/>
                <w:lang w:val="en-GB" w:eastAsia="en-US"/>
              </w:rPr>
            </w:pPr>
          </w:p>
        </w:tc>
        <w:tc>
          <w:tcPr>
            <w:tcW w:w="3176" w:type="dxa"/>
            <w:vAlign w:val="center"/>
          </w:tcPr>
          <w:p w:rsidR="000B609E" w:rsidRDefault="000B609E">
            <w:pPr>
              <w:spacing w:afterLines="0" w:after="0"/>
              <w:ind w:firstLineChars="0" w:firstLine="0"/>
              <w:jc w:val="right"/>
              <w:rPr>
                <w:rFonts w:ascii="Arial Narrow" w:eastAsia="宋体" w:hAnsi="Arial Narrow" w:cs="Arial Narrow"/>
                <w:b/>
                <w:bCs/>
                <w:snapToGrid w:val="0"/>
                <w:kern w:val="0"/>
                <w:sz w:val="20"/>
                <w:szCs w:val="20"/>
                <w:lang w:val="en-GB" w:eastAsia="en-US"/>
              </w:rPr>
            </w:pPr>
          </w:p>
        </w:tc>
      </w:tr>
      <w:tr w:rsidR="000B609E">
        <w:trPr>
          <w:trHeight w:hRule="exact" w:val="454"/>
          <w:jc w:val="center"/>
        </w:trPr>
        <w:tc>
          <w:tcPr>
            <w:tcW w:w="3981" w:type="dxa"/>
            <w:vAlign w:val="center"/>
          </w:tcPr>
          <w:p w:rsidR="000B609E" w:rsidRPr="00E9247D" w:rsidRDefault="00B220E1">
            <w:pPr>
              <w:autoSpaceDE w:val="0"/>
              <w:autoSpaceDN w:val="0"/>
              <w:spacing w:afterLines="0" w:after="0"/>
              <w:ind w:firstLineChars="100" w:firstLine="181"/>
              <w:rPr>
                <w:rFonts w:ascii="Times New Roman" w:eastAsia="宋体" w:hAnsi="Times New Roman" w:cs="Times New Roman"/>
                <w:b/>
                <w:snapToGrid w:val="0"/>
                <w:kern w:val="0"/>
                <w:sz w:val="18"/>
                <w:szCs w:val="18"/>
              </w:rPr>
            </w:pPr>
            <w:r w:rsidRPr="00E9247D">
              <w:rPr>
                <w:rFonts w:ascii="Times New Roman" w:eastAsia="宋体" w:hAnsi="Times New Roman" w:cs="Times New Roman"/>
                <w:b/>
                <w:snapToGrid w:val="0"/>
                <w:kern w:val="0"/>
                <w:sz w:val="18"/>
                <w:szCs w:val="18"/>
                <w:lang w:val="en-GB"/>
              </w:rPr>
              <w:t>December 31, 20</w:t>
            </w:r>
            <w:r w:rsidRPr="00E9247D">
              <w:rPr>
                <w:rFonts w:ascii="Times New Roman" w:eastAsia="宋体" w:hAnsi="Times New Roman" w:cs="Times New Roman" w:hint="eastAsia"/>
                <w:b/>
                <w:snapToGrid w:val="0"/>
                <w:kern w:val="0"/>
                <w:sz w:val="18"/>
                <w:szCs w:val="18"/>
              </w:rPr>
              <w:t>20</w:t>
            </w:r>
          </w:p>
        </w:tc>
        <w:tc>
          <w:tcPr>
            <w:tcW w:w="2690"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宋体"/>
                <w:b/>
                <w:bCs/>
                <w:sz w:val="20"/>
                <w:szCs w:val="20"/>
              </w:rPr>
              <w:t>5,389,327.11</w:t>
            </w:r>
          </w:p>
        </w:tc>
        <w:tc>
          <w:tcPr>
            <w:tcW w:w="3176"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cs="宋体"/>
                <w:b/>
                <w:bCs/>
                <w:sz w:val="20"/>
                <w:szCs w:val="20"/>
              </w:rPr>
              <w:t>5,389,327.11</w:t>
            </w:r>
          </w:p>
        </w:tc>
      </w:tr>
      <w:tr w:rsidR="000B609E">
        <w:trPr>
          <w:trHeight w:hRule="exact" w:val="454"/>
          <w:jc w:val="center"/>
        </w:trPr>
        <w:tc>
          <w:tcPr>
            <w:tcW w:w="3981" w:type="dxa"/>
            <w:vAlign w:val="center"/>
          </w:tcPr>
          <w:p w:rsidR="000B609E" w:rsidRPr="00E9247D" w:rsidRDefault="00B220E1">
            <w:pPr>
              <w:autoSpaceDE w:val="0"/>
              <w:autoSpaceDN w:val="0"/>
              <w:spacing w:afterLines="0" w:after="0"/>
              <w:ind w:firstLineChars="100" w:firstLine="181"/>
              <w:rPr>
                <w:rFonts w:ascii="Times New Roman" w:eastAsia="宋体" w:hAnsi="Times New Roman" w:cs="Times New Roman"/>
                <w:b/>
                <w:snapToGrid w:val="0"/>
                <w:kern w:val="0"/>
                <w:sz w:val="18"/>
                <w:szCs w:val="18"/>
              </w:rPr>
            </w:pPr>
            <w:r w:rsidRPr="00E9247D">
              <w:rPr>
                <w:rFonts w:ascii="Times New Roman" w:eastAsia="宋体" w:hAnsi="Times New Roman" w:cs="Times New Roman"/>
                <w:b/>
                <w:snapToGrid w:val="0"/>
                <w:kern w:val="0"/>
                <w:sz w:val="18"/>
                <w:szCs w:val="18"/>
                <w:lang w:val="en-GB"/>
              </w:rPr>
              <w:t>December 31, 201</w:t>
            </w:r>
            <w:r w:rsidRPr="00E9247D">
              <w:rPr>
                <w:rFonts w:ascii="Times New Roman" w:eastAsia="宋体" w:hAnsi="Times New Roman" w:cs="Times New Roman" w:hint="eastAsia"/>
                <w:b/>
                <w:snapToGrid w:val="0"/>
                <w:kern w:val="0"/>
                <w:sz w:val="18"/>
                <w:szCs w:val="18"/>
              </w:rPr>
              <w:t>9</w:t>
            </w:r>
          </w:p>
        </w:tc>
        <w:tc>
          <w:tcPr>
            <w:tcW w:w="2690"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hint="eastAsia"/>
                <w:b/>
                <w:bCs/>
                <w:sz w:val="20"/>
                <w:szCs w:val="20"/>
              </w:rPr>
              <w:t xml:space="preserve"> 6,879,702.83 </w:t>
            </w:r>
          </w:p>
        </w:tc>
        <w:tc>
          <w:tcPr>
            <w:tcW w:w="3176"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hint="eastAsia"/>
                <w:b/>
                <w:bCs/>
                <w:sz w:val="20"/>
                <w:szCs w:val="20"/>
              </w:rPr>
              <w:t xml:space="preserve"> 6,879,702.83 </w:t>
            </w:r>
          </w:p>
        </w:tc>
      </w:tr>
    </w:tbl>
    <w:p w:rsidR="000B609E" w:rsidRDefault="00B220E1">
      <w:pPr>
        <w:pStyle w:val="21"/>
        <w:numPr>
          <w:ilvl w:val="0"/>
          <w:numId w:val="25"/>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Fixed assets</w:t>
      </w:r>
    </w:p>
    <w:p w:rsidR="000B609E" w:rsidRDefault="00B220E1">
      <w:pPr>
        <w:pStyle w:val="11"/>
        <w:numPr>
          <w:ilvl w:val="0"/>
          <w:numId w:val="26"/>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hint="eastAsia"/>
          <w:sz w:val="24"/>
          <w:szCs w:val="24"/>
        </w:rPr>
        <w:t>he Group:</w:t>
      </w:r>
    </w:p>
    <w:tbl>
      <w:tblPr>
        <w:tblW w:w="9746" w:type="dxa"/>
        <w:jc w:val="center"/>
        <w:tblBorders>
          <w:top w:val="double" w:sz="4" w:space="0" w:color="auto"/>
          <w:bottom w:val="double" w:sz="4" w:space="0" w:color="auto"/>
          <w:insideH w:val="single" w:sz="2" w:space="0" w:color="auto"/>
          <w:insideV w:val="single" w:sz="2" w:space="0" w:color="auto"/>
        </w:tblBorders>
        <w:tblLayout w:type="fixed"/>
        <w:tblLook w:val="04A0" w:firstRow="1" w:lastRow="0" w:firstColumn="1" w:lastColumn="0" w:noHBand="0" w:noVBand="1"/>
      </w:tblPr>
      <w:tblGrid>
        <w:gridCol w:w="1539"/>
        <w:gridCol w:w="1633"/>
        <w:gridCol w:w="1150"/>
        <w:gridCol w:w="1260"/>
        <w:gridCol w:w="1260"/>
        <w:gridCol w:w="1229"/>
        <w:gridCol w:w="1675"/>
      </w:tblGrid>
      <w:tr w:rsidR="000B609E">
        <w:trPr>
          <w:trHeight w:val="20"/>
          <w:tblHeader/>
          <w:jc w:val="center"/>
        </w:trPr>
        <w:tc>
          <w:tcPr>
            <w:tcW w:w="1539" w:type="dxa"/>
            <w:vAlign w:val="center"/>
          </w:tcPr>
          <w:p w:rsidR="000B609E" w:rsidRDefault="00B220E1">
            <w:pPr>
              <w:autoSpaceDE w:val="0"/>
              <w:autoSpaceDN w:val="0"/>
              <w:spacing w:afterLines="0" w:after="0"/>
              <w:ind w:firstLineChars="250" w:firstLine="452"/>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color w:val="000000"/>
                <w:kern w:val="0"/>
                <w:sz w:val="18"/>
                <w:szCs w:val="18"/>
              </w:rPr>
              <w:t>Items</w:t>
            </w:r>
          </w:p>
        </w:tc>
        <w:tc>
          <w:tcPr>
            <w:tcW w:w="1633" w:type="dxa"/>
            <w:vAlign w:val="center"/>
          </w:tcPr>
          <w:p w:rsidR="000B609E" w:rsidRDefault="00B220E1">
            <w:pPr>
              <w:autoSpaceDE w:val="0"/>
              <w:autoSpaceDN w:val="0"/>
              <w:spacing w:afterLines="0" w:after="0"/>
              <w:ind w:firstLineChars="0" w:firstLine="0"/>
              <w:jc w:val="center"/>
              <w:rPr>
                <w:rFonts w:ascii="Times New Roman" w:hAnsi="Times New Roman" w:cs="Times New Roman"/>
                <w:b/>
                <w:snapToGrid w:val="0"/>
                <w:kern w:val="0"/>
                <w:sz w:val="18"/>
                <w:szCs w:val="18"/>
              </w:rPr>
            </w:pPr>
            <w:r>
              <w:rPr>
                <w:rFonts w:ascii="Times New Roman" w:hAnsi="Times New Roman" w:cs="Times New Roman"/>
                <w:b/>
                <w:snapToGrid w:val="0"/>
                <w:kern w:val="0"/>
                <w:sz w:val="18"/>
                <w:szCs w:val="18"/>
                <w:lang w:val="en-GB"/>
              </w:rPr>
              <w:t>Building</w:t>
            </w:r>
            <w:r>
              <w:rPr>
                <w:rFonts w:ascii="Times New Roman" w:hAnsi="Times New Roman" w:cs="Times New Roman" w:hint="eastAsia"/>
                <w:b/>
                <w:snapToGrid w:val="0"/>
                <w:kern w:val="0"/>
                <w:sz w:val="18"/>
                <w:szCs w:val="18"/>
              </w:rPr>
              <w:t>s</w:t>
            </w:r>
          </w:p>
        </w:tc>
        <w:tc>
          <w:tcPr>
            <w:tcW w:w="1150" w:type="dxa"/>
            <w:vAlign w:val="center"/>
          </w:tcPr>
          <w:p w:rsidR="000B609E" w:rsidRDefault="00B220E1">
            <w:pPr>
              <w:autoSpaceDE w:val="0"/>
              <w:autoSpaceDN w:val="0"/>
              <w:spacing w:afterLines="0" w:after="0"/>
              <w:ind w:firstLineChars="0" w:firstLine="0"/>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kern w:val="0"/>
                <w:sz w:val="18"/>
                <w:szCs w:val="18"/>
              </w:rPr>
              <w:t>Motor vehicles</w:t>
            </w:r>
          </w:p>
        </w:tc>
        <w:tc>
          <w:tcPr>
            <w:tcW w:w="1260" w:type="dxa"/>
            <w:vAlign w:val="center"/>
          </w:tcPr>
          <w:p w:rsidR="000B609E" w:rsidRDefault="00B220E1">
            <w:pPr>
              <w:autoSpaceDE w:val="0"/>
              <w:autoSpaceDN w:val="0"/>
              <w:spacing w:afterLines="0" w:after="0"/>
              <w:ind w:firstLineChars="0" w:firstLine="0"/>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kern w:val="0"/>
                <w:sz w:val="18"/>
                <w:szCs w:val="18"/>
              </w:rPr>
              <w:t>Machinery equipment</w:t>
            </w:r>
          </w:p>
        </w:tc>
        <w:tc>
          <w:tcPr>
            <w:tcW w:w="1260" w:type="dxa"/>
            <w:vAlign w:val="center"/>
          </w:tcPr>
          <w:p w:rsidR="000B609E" w:rsidRDefault="00B220E1">
            <w:pPr>
              <w:autoSpaceDE w:val="0"/>
              <w:autoSpaceDN w:val="0"/>
              <w:spacing w:afterLines="0" w:after="0"/>
              <w:ind w:firstLineChars="0" w:firstLine="0"/>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kern w:val="0"/>
                <w:sz w:val="18"/>
                <w:szCs w:val="18"/>
              </w:rPr>
              <w:t>Electronic equipment</w:t>
            </w:r>
          </w:p>
        </w:tc>
        <w:tc>
          <w:tcPr>
            <w:tcW w:w="1229" w:type="dxa"/>
            <w:vAlign w:val="center"/>
          </w:tcPr>
          <w:p w:rsidR="000B609E" w:rsidRDefault="00B220E1">
            <w:pPr>
              <w:autoSpaceDE w:val="0"/>
              <w:autoSpaceDN w:val="0"/>
              <w:spacing w:afterLines="0" w:after="0"/>
              <w:ind w:firstLineChars="0" w:firstLine="0"/>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kern w:val="0"/>
                <w:sz w:val="18"/>
                <w:szCs w:val="18"/>
              </w:rPr>
              <w:t>Other equipment</w:t>
            </w:r>
          </w:p>
        </w:tc>
        <w:tc>
          <w:tcPr>
            <w:tcW w:w="1675" w:type="dxa"/>
            <w:vAlign w:val="center"/>
          </w:tcPr>
          <w:p w:rsidR="000B609E" w:rsidRDefault="00B220E1">
            <w:pPr>
              <w:autoSpaceDE w:val="0"/>
              <w:autoSpaceDN w:val="0"/>
              <w:spacing w:afterLines="0" w:after="0"/>
              <w:ind w:firstLine="361"/>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snapToGrid w:val="0"/>
                <w:kern w:val="0"/>
                <w:sz w:val="18"/>
                <w:szCs w:val="18"/>
                <w:lang w:val="en-GB"/>
              </w:rPr>
              <w:t>Total</w:t>
            </w:r>
          </w:p>
        </w:tc>
      </w:tr>
      <w:tr w:rsidR="000B609E">
        <w:trPr>
          <w:trHeight w:hRule="exact" w:val="454"/>
          <w:jc w:val="center"/>
        </w:trPr>
        <w:tc>
          <w:tcPr>
            <w:tcW w:w="1539" w:type="dxa"/>
            <w:vAlign w:val="center"/>
          </w:tcPr>
          <w:p w:rsidR="000B609E" w:rsidRDefault="00B220E1">
            <w:pPr>
              <w:autoSpaceDE w:val="0"/>
              <w:autoSpaceDN w:val="0"/>
              <w:spacing w:afterLines="0" w:after="0"/>
              <w:ind w:firstLineChars="0" w:firstLine="0"/>
              <w:rPr>
                <w:rFonts w:ascii="Times New Roman" w:eastAsia="宋体" w:hAnsi="Times New Roman" w:cs="Times New Roman"/>
                <w:b/>
                <w:i/>
                <w:snapToGrid w:val="0"/>
                <w:kern w:val="0"/>
                <w:sz w:val="18"/>
                <w:szCs w:val="18"/>
                <w:lang w:val="en-GB"/>
              </w:rPr>
            </w:pPr>
            <w:r>
              <w:rPr>
                <w:rFonts w:ascii="Times New Roman" w:eastAsia="宋体" w:hAnsi="Times New Roman" w:cs="Times New Roman"/>
                <w:b/>
                <w:iCs/>
                <w:snapToGrid w:val="0"/>
                <w:kern w:val="0"/>
                <w:sz w:val="18"/>
                <w:szCs w:val="18"/>
                <w:lang w:val="en-GB"/>
              </w:rPr>
              <w:t>Book value</w:t>
            </w:r>
          </w:p>
        </w:tc>
        <w:tc>
          <w:tcPr>
            <w:tcW w:w="1633" w:type="dxa"/>
            <w:vAlign w:val="bottom"/>
          </w:tcPr>
          <w:p w:rsidR="000B609E" w:rsidRDefault="000B609E">
            <w:pPr>
              <w:spacing w:afterLines="0" w:after="0"/>
              <w:ind w:firstLine="360"/>
              <w:jc w:val="right"/>
              <w:rPr>
                <w:rFonts w:ascii="Times New Roman" w:eastAsia="宋体" w:hAnsi="Times New Roman" w:cs="Times New Roman"/>
                <w:snapToGrid w:val="0"/>
                <w:color w:val="000000"/>
                <w:kern w:val="0"/>
                <w:sz w:val="18"/>
                <w:szCs w:val="18"/>
                <w:lang w:val="en-GB" w:eastAsia="en-US"/>
              </w:rPr>
            </w:pPr>
          </w:p>
        </w:tc>
        <w:tc>
          <w:tcPr>
            <w:tcW w:w="1150" w:type="dxa"/>
            <w:vAlign w:val="bottom"/>
          </w:tcPr>
          <w:p w:rsidR="000B609E" w:rsidRDefault="000B609E">
            <w:pPr>
              <w:spacing w:afterLines="0" w:after="0"/>
              <w:ind w:firstLine="360"/>
              <w:jc w:val="right"/>
              <w:rPr>
                <w:rFonts w:ascii="Times New Roman" w:eastAsia="宋体" w:hAnsi="Times New Roman" w:cs="Times New Roman"/>
                <w:snapToGrid w:val="0"/>
                <w:color w:val="000000"/>
                <w:kern w:val="0"/>
                <w:sz w:val="18"/>
                <w:szCs w:val="18"/>
                <w:lang w:val="en-GB" w:eastAsia="en-US"/>
              </w:rPr>
            </w:pPr>
          </w:p>
        </w:tc>
        <w:tc>
          <w:tcPr>
            <w:tcW w:w="1260" w:type="dxa"/>
            <w:vAlign w:val="bottom"/>
          </w:tcPr>
          <w:p w:rsidR="000B609E" w:rsidRDefault="000B609E">
            <w:pPr>
              <w:spacing w:afterLines="0" w:after="0"/>
              <w:ind w:firstLine="360"/>
              <w:jc w:val="right"/>
              <w:rPr>
                <w:rFonts w:ascii="Times New Roman" w:eastAsia="宋体" w:hAnsi="Times New Roman" w:cs="Times New Roman"/>
                <w:snapToGrid w:val="0"/>
                <w:color w:val="000000"/>
                <w:kern w:val="0"/>
                <w:sz w:val="18"/>
                <w:szCs w:val="18"/>
                <w:lang w:val="en-GB" w:eastAsia="en-US"/>
              </w:rPr>
            </w:pPr>
          </w:p>
        </w:tc>
        <w:tc>
          <w:tcPr>
            <w:tcW w:w="1260" w:type="dxa"/>
            <w:vAlign w:val="bottom"/>
          </w:tcPr>
          <w:p w:rsidR="000B609E" w:rsidRDefault="000B609E">
            <w:pPr>
              <w:spacing w:afterLines="0" w:after="0"/>
              <w:ind w:firstLine="360"/>
              <w:jc w:val="right"/>
              <w:rPr>
                <w:rFonts w:ascii="Times New Roman" w:eastAsia="宋体" w:hAnsi="Times New Roman" w:cs="Times New Roman"/>
                <w:snapToGrid w:val="0"/>
                <w:color w:val="000000"/>
                <w:kern w:val="0"/>
                <w:sz w:val="18"/>
                <w:szCs w:val="18"/>
                <w:lang w:val="en-GB" w:eastAsia="en-US"/>
              </w:rPr>
            </w:pPr>
          </w:p>
        </w:tc>
        <w:tc>
          <w:tcPr>
            <w:tcW w:w="1229" w:type="dxa"/>
            <w:vAlign w:val="bottom"/>
          </w:tcPr>
          <w:p w:rsidR="000B609E" w:rsidRDefault="000B609E">
            <w:pPr>
              <w:spacing w:afterLines="0" w:after="0"/>
              <w:ind w:firstLine="360"/>
              <w:jc w:val="right"/>
              <w:rPr>
                <w:rFonts w:ascii="Times New Roman" w:eastAsia="宋体" w:hAnsi="Times New Roman" w:cs="Times New Roman"/>
                <w:snapToGrid w:val="0"/>
                <w:color w:val="000000"/>
                <w:kern w:val="0"/>
                <w:sz w:val="18"/>
                <w:szCs w:val="18"/>
                <w:lang w:val="en-GB" w:eastAsia="en-US"/>
              </w:rPr>
            </w:pPr>
          </w:p>
        </w:tc>
        <w:tc>
          <w:tcPr>
            <w:tcW w:w="1675" w:type="dxa"/>
            <w:vAlign w:val="bottom"/>
          </w:tcPr>
          <w:p w:rsidR="000B609E" w:rsidRDefault="000B609E">
            <w:pPr>
              <w:spacing w:afterLines="0" w:after="0"/>
              <w:ind w:firstLine="360"/>
              <w:jc w:val="right"/>
              <w:rPr>
                <w:rFonts w:ascii="Times New Roman" w:eastAsia="宋体" w:hAnsi="Times New Roman" w:cs="Times New Roman"/>
                <w:snapToGrid w:val="0"/>
                <w:color w:val="000000"/>
                <w:kern w:val="0"/>
                <w:sz w:val="18"/>
                <w:szCs w:val="18"/>
                <w:lang w:val="en-GB" w:eastAsia="en-US"/>
              </w:rPr>
            </w:pPr>
          </w:p>
        </w:tc>
      </w:tr>
      <w:tr w:rsidR="000B609E">
        <w:trPr>
          <w:trHeight w:hRule="exact" w:val="907"/>
          <w:jc w:val="center"/>
        </w:trPr>
        <w:tc>
          <w:tcPr>
            <w:tcW w:w="1539" w:type="dxa"/>
            <w:vAlign w:val="center"/>
          </w:tcPr>
          <w:p w:rsidR="000B609E" w:rsidRDefault="00B220E1">
            <w:pPr>
              <w:autoSpaceDE w:val="0"/>
              <w:autoSpaceDN w:val="0"/>
              <w:spacing w:afterLines="0" w:after="0"/>
              <w:ind w:left="180" w:hangingChars="100" w:hanging="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eastAsia="en-US"/>
              </w:rPr>
              <w:t>1.</w:t>
            </w:r>
            <w:r>
              <w:rPr>
                <w:rFonts w:ascii="Times New Roman" w:eastAsia="宋体" w:hAnsi="Times New Roman" w:cs="Times New Roman"/>
                <w:snapToGrid w:val="0"/>
                <w:kern w:val="0"/>
                <w:sz w:val="18"/>
                <w:szCs w:val="18"/>
                <w:lang w:val="en-GB"/>
              </w:rPr>
              <w:t>Beginning balance</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502,796,773.83</w:t>
            </w:r>
          </w:p>
        </w:tc>
        <w:tc>
          <w:tcPr>
            <w:tcW w:w="115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6,118,658.76 </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42,281,758.94 </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17,030,468.79 </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13,324,044.63 </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 581,551,704.95 </w:t>
            </w:r>
          </w:p>
        </w:tc>
      </w:tr>
      <w:tr w:rsidR="000B609E">
        <w:trPr>
          <w:trHeight w:hRule="exact" w:val="907"/>
          <w:jc w:val="center"/>
        </w:trPr>
        <w:tc>
          <w:tcPr>
            <w:tcW w:w="1539" w:type="dxa"/>
            <w:vAlign w:val="center"/>
          </w:tcPr>
          <w:p w:rsidR="000B609E" w:rsidRDefault="00B220E1">
            <w:pPr>
              <w:autoSpaceDE w:val="0"/>
              <w:autoSpaceDN w:val="0"/>
              <w:spacing w:afterLines="0" w:after="0"/>
              <w:ind w:left="180" w:hangingChars="100" w:hanging="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lastRenderedPageBreak/>
              <w:t>2.Increase in the current year</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24,690,285.23</w:t>
            </w:r>
          </w:p>
        </w:tc>
        <w:tc>
          <w:tcPr>
            <w:tcW w:w="115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26,000.00</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4,479,382.00</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5,481,134.29</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34,676,801.52</w:t>
            </w:r>
          </w:p>
        </w:tc>
      </w:tr>
      <w:tr w:rsidR="000B609E">
        <w:trPr>
          <w:trHeight w:hRule="exact" w:val="454"/>
          <w:jc w:val="center"/>
        </w:trPr>
        <w:tc>
          <w:tcPr>
            <w:tcW w:w="1539"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Purchase</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15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26,000.00</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4,479,382.00</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5,481,134.29</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9,986,516.29</w:t>
            </w:r>
          </w:p>
        </w:tc>
      </w:tr>
      <w:tr w:rsidR="000B609E">
        <w:trPr>
          <w:trHeight w:hRule="exact" w:val="907"/>
          <w:jc w:val="center"/>
        </w:trPr>
        <w:tc>
          <w:tcPr>
            <w:tcW w:w="1539" w:type="dxa"/>
            <w:vAlign w:val="center"/>
          </w:tcPr>
          <w:p w:rsidR="000B609E" w:rsidRDefault="00B220E1">
            <w:pPr>
              <w:autoSpaceDE w:val="0"/>
              <w:autoSpaceDN w:val="0"/>
              <w:spacing w:afterLines="0" w:after="0"/>
              <w:ind w:leftChars="85" w:left="178"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Construction in progress</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24,690,285.23</w:t>
            </w:r>
          </w:p>
        </w:tc>
        <w:tc>
          <w:tcPr>
            <w:tcW w:w="115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24,690,285.23</w:t>
            </w:r>
          </w:p>
        </w:tc>
      </w:tr>
      <w:tr w:rsidR="000B609E">
        <w:trPr>
          <w:trHeight w:hRule="exact" w:val="907"/>
          <w:jc w:val="center"/>
        </w:trPr>
        <w:tc>
          <w:tcPr>
            <w:tcW w:w="1539" w:type="dxa"/>
            <w:vAlign w:val="center"/>
          </w:tcPr>
          <w:p w:rsidR="000B609E" w:rsidRDefault="00B220E1">
            <w:pPr>
              <w:autoSpaceDE w:val="0"/>
              <w:autoSpaceDN w:val="0"/>
              <w:spacing w:afterLines="0" w:after="0"/>
              <w:ind w:leftChars="85" w:left="178"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Business combinations</w:t>
            </w:r>
          </w:p>
        </w:tc>
        <w:tc>
          <w:tcPr>
            <w:tcW w:w="1633"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15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6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6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2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675"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hRule="exact" w:val="454"/>
          <w:jc w:val="center"/>
        </w:trPr>
        <w:tc>
          <w:tcPr>
            <w:tcW w:w="1539"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rPr>
              <w:t>Other</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snapToGrid w:val="0"/>
                <w:kern w:val="0"/>
                <w:sz w:val="18"/>
                <w:szCs w:val="18"/>
                <w:lang w:val="en-GB"/>
              </w:rPr>
              <w:t xml:space="preserve"> </w:t>
            </w:r>
            <w:r>
              <w:rPr>
                <w:rFonts w:ascii="Arial Narrow" w:hAnsi="Arial Narrow" w:hint="eastAsia"/>
                <w:color w:val="000000"/>
                <w:sz w:val="18"/>
                <w:szCs w:val="18"/>
              </w:rPr>
              <w:t>-</w:t>
            </w:r>
            <w:r>
              <w:rPr>
                <w:rFonts w:ascii="Arial Narrow" w:eastAsia="宋体" w:hAnsi="Arial Narrow" w:cs="Arial Narrow"/>
                <w:snapToGrid w:val="0"/>
                <w:kern w:val="0"/>
                <w:sz w:val="18"/>
                <w:szCs w:val="18"/>
                <w:lang w:val="en-GB"/>
              </w:rPr>
              <w:t xml:space="preserve"> </w:t>
            </w:r>
          </w:p>
        </w:tc>
        <w:tc>
          <w:tcPr>
            <w:tcW w:w="115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6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6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2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hAnsi="Arial Narrow" w:cs="宋体"/>
                <w:color w:val="000000"/>
                <w:sz w:val="18"/>
                <w:szCs w:val="18"/>
              </w:rPr>
              <w:t>-</w:t>
            </w:r>
            <w:r>
              <w:rPr>
                <w:rFonts w:ascii="Arial Narrow" w:eastAsia="宋体" w:hAnsi="Arial Narrow" w:cs="Arial Narrow"/>
                <w:b/>
                <w:bCs/>
                <w:snapToGrid w:val="0"/>
                <w:kern w:val="0"/>
                <w:sz w:val="18"/>
                <w:szCs w:val="18"/>
                <w:lang w:val="en-GB"/>
              </w:rPr>
              <w:t xml:space="preserve"> </w:t>
            </w:r>
          </w:p>
        </w:tc>
      </w:tr>
      <w:tr w:rsidR="000B609E">
        <w:trPr>
          <w:trHeight w:hRule="exact" w:val="907"/>
          <w:jc w:val="center"/>
        </w:trPr>
        <w:tc>
          <w:tcPr>
            <w:tcW w:w="1539" w:type="dxa"/>
            <w:vAlign w:val="center"/>
          </w:tcPr>
          <w:p w:rsidR="000B609E" w:rsidRDefault="00B220E1">
            <w:pPr>
              <w:autoSpaceDE w:val="0"/>
              <w:autoSpaceDN w:val="0"/>
              <w:spacing w:afterLines="0" w:after="0"/>
              <w:ind w:left="180" w:hangingChars="100" w:hanging="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3.Decrease in the current year</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356,924.94</w:t>
            </w:r>
          </w:p>
        </w:tc>
        <w:tc>
          <w:tcPr>
            <w:tcW w:w="115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473,612.50</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3,650,870.00</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63,280.00</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4,544,687.44</w:t>
            </w:r>
          </w:p>
        </w:tc>
      </w:tr>
      <w:tr w:rsidR="000B609E">
        <w:trPr>
          <w:trHeight w:hRule="exact" w:val="454"/>
          <w:jc w:val="center"/>
        </w:trPr>
        <w:tc>
          <w:tcPr>
            <w:tcW w:w="1539"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Disposal</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356,924.94</w:t>
            </w:r>
          </w:p>
        </w:tc>
        <w:tc>
          <w:tcPr>
            <w:tcW w:w="115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473,612.50</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3,650,870.00</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63,280.00</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4,544,687.44</w:t>
            </w:r>
          </w:p>
        </w:tc>
      </w:tr>
      <w:tr w:rsidR="000B609E">
        <w:trPr>
          <w:trHeight w:hRule="exact" w:val="907"/>
          <w:jc w:val="center"/>
        </w:trPr>
        <w:tc>
          <w:tcPr>
            <w:tcW w:w="1539" w:type="dxa"/>
            <w:vAlign w:val="center"/>
          </w:tcPr>
          <w:p w:rsidR="000B609E" w:rsidRDefault="00B220E1">
            <w:pPr>
              <w:autoSpaceDE w:val="0"/>
              <w:autoSpaceDN w:val="0"/>
              <w:spacing w:afterLines="0" w:after="0"/>
              <w:ind w:leftChars="85" w:left="178"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Business combinations</w:t>
            </w:r>
          </w:p>
        </w:tc>
        <w:tc>
          <w:tcPr>
            <w:tcW w:w="1633"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15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6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6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2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675"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hRule="exact" w:val="635"/>
          <w:jc w:val="center"/>
        </w:trPr>
        <w:tc>
          <w:tcPr>
            <w:tcW w:w="1539"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4.Ending balance</w:t>
            </w:r>
          </w:p>
        </w:tc>
        <w:tc>
          <w:tcPr>
            <w:tcW w:w="1633" w:type="dxa"/>
            <w:vAlign w:val="center"/>
          </w:tcPr>
          <w:p w:rsidR="000B609E" w:rsidRDefault="00B220E1">
            <w:pPr>
              <w:spacing w:afterLines="0" w:after="0"/>
              <w:ind w:firstLineChars="0" w:firstLine="0"/>
              <w:jc w:val="right"/>
              <w:rPr>
                <w:rFonts w:ascii="Arial Narrow" w:hAnsi="Arial Narrow" w:cs="宋体"/>
                <w:color w:val="000000"/>
                <w:sz w:val="18"/>
                <w:szCs w:val="18"/>
                <w:lang w:val="en-GB"/>
              </w:rPr>
            </w:pPr>
            <w:r>
              <w:rPr>
                <w:rFonts w:ascii="Arial Narrow" w:hAnsi="Arial Narrow" w:cs="宋体"/>
                <w:color w:val="000000"/>
                <w:sz w:val="18"/>
                <w:szCs w:val="18"/>
              </w:rPr>
              <w:t>527,130,134.12</w:t>
            </w:r>
          </w:p>
        </w:tc>
        <w:tc>
          <w:tcPr>
            <w:tcW w:w="1150" w:type="dxa"/>
            <w:vAlign w:val="center"/>
          </w:tcPr>
          <w:p w:rsidR="000B609E" w:rsidRDefault="00B220E1">
            <w:pPr>
              <w:spacing w:afterLines="0" w:after="0"/>
              <w:ind w:firstLineChars="0" w:firstLine="0"/>
              <w:jc w:val="right"/>
              <w:rPr>
                <w:rFonts w:ascii="Arial Narrow" w:hAnsi="Arial Narrow" w:cs="宋体"/>
                <w:color w:val="000000"/>
                <w:sz w:val="18"/>
                <w:szCs w:val="18"/>
                <w:lang w:val="en-GB"/>
              </w:rPr>
            </w:pPr>
            <w:r>
              <w:rPr>
                <w:rFonts w:ascii="Arial Narrow" w:hAnsi="Arial Narrow" w:cs="宋体"/>
                <w:color w:val="000000"/>
                <w:sz w:val="18"/>
                <w:szCs w:val="18"/>
              </w:rPr>
              <w:t>6,118,658.76</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41,834,146.44</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17,858,980.79</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18,741,898.92</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611,683,819.03</w:t>
            </w:r>
          </w:p>
        </w:tc>
      </w:tr>
      <w:tr w:rsidR="000B609E">
        <w:trPr>
          <w:trHeight w:val="20"/>
          <w:jc w:val="center"/>
        </w:trPr>
        <w:tc>
          <w:tcPr>
            <w:tcW w:w="1539"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Accumulated depreciation</w:t>
            </w:r>
          </w:p>
        </w:tc>
        <w:tc>
          <w:tcPr>
            <w:tcW w:w="1633"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150"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260"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260"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229"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675" w:type="dxa"/>
            <w:vAlign w:val="center"/>
          </w:tcPr>
          <w:p w:rsidR="000B609E" w:rsidRDefault="000B609E">
            <w:pPr>
              <w:spacing w:afterLines="0" w:after="0"/>
              <w:ind w:firstLineChars="0" w:firstLine="0"/>
              <w:jc w:val="right"/>
              <w:rPr>
                <w:rFonts w:ascii="Arial Narrow" w:eastAsia="宋体" w:hAnsi="Arial Narrow" w:cs="Arial Narrow"/>
                <w:b/>
                <w:bCs/>
                <w:snapToGrid w:val="0"/>
                <w:kern w:val="0"/>
                <w:sz w:val="18"/>
                <w:szCs w:val="18"/>
                <w:lang w:val="en-GB" w:eastAsia="en-US"/>
              </w:rPr>
            </w:pPr>
          </w:p>
        </w:tc>
      </w:tr>
      <w:tr w:rsidR="000B609E">
        <w:trPr>
          <w:trHeight w:hRule="exact" w:val="907"/>
          <w:jc w:val="center"/>
        </w:trPr>
        <w:tc>
          <w:tcPr>
            <w:tcW w:w="1539" w:type="dxa"/>
            <w:vAlign w:val="center"/>
          </w:tcPr>
          <w:p w:rsidR="000B609E" w:rsidRDefault="00B220E1">
            <w:pPr>
              <w:autoSpaceDE w:val="0"/>
              <w:autoSpaceDN w:val="0"/>
              <w:spacing w:afterLines="0" w:after="0"/>
              <w:ind w:left="180" w:hangingChars="100" w:hanging="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1.Beginning balance</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135,028,581.71 </w:t>
            </w:r>
          </w:p>
        </w:tc>
        <w:tc>
          <w:tcPr>
            <w:tcW w:w="115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4,346,868.31 </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38,611,648.24 </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14,253,194.60 </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5,310,210.16 </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 197,550,503.02 </w:t>
            </w:r>
          </w:p>
        </w:tc>
      </w:tr>
      <w:tr w:rsidR="000B609E">
        <w:trPr>
          <w:trHeight w:hRule="exact" w:val="907"/>
          <w:jc w:val="center"/>
        </w:trPr>
        <w:tc>
          <w:tcPr>
            <w:tcW w:w="1539" w:type="dxa"/>
            <w:vAlign w:val="center"/>
          </w:tcPr>
          <w:p w:rsidR="000B609E" w:rsidRDefault="00B220E1">
            <w:pPr>
              <w:autoSpaceDE w:val="0"/>
              <w:autoSpaceDN w:val="0"/>
              <w:spacing w:afterLines="0" w:after="0"/>
              <w:ind w:left="180" w:hangingChars="100" w:hanging="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2.Increase in the current year</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20,611,126.51</w:t>
            </w:r>
          </w:p>
        </w:tc>
        <w:tc>
          <w:tcPr>
            <w:tcW w:w="115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534,922.02</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424,203.02</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2,671,123.59</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2,955,628.84</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27,197,003.98</w:t>
            </w:r>
          </w:p>
        </w:tc>
      </w:tr>
      <w:tr w:rsidR="000B609E">
        <w:trPr>
          <w:trHeight w:hRule="exact" w:val="454"/>
          <w:jc w:val="center"/>
        </w:trPr>
        <w:tc>
          <w:tcPr>
            <w:tcW w:w="1539"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Provision</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20,611,126.51</w:t>
            </w:r>
          </w:p>
        </w:tc>
        <w:tc>
          <w:tcPr>
            <w:tcW w:w="115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534,922.02</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424,203.02</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2,671,123.59</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2,955,628.84</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27,197,003.98</w:t>
            </w:r>
          </w:p>
        </w:tc>
      </w:tr>
      <w:tr w:rsidR="000B609E">
        <w:trPr>
          <w:trHeight w:hRule="exact" w:val="454"/>
          <w:jc w:val="center"/>
        </w:trPr>
        <w:tc>
          <w:tcPr>
            <w:tcW w:w="1539"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rPr>
              <w:t>Other</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r>
              <w:rPr>
                <w:rFonts w:ascii="Arial Narrow" w:eastAsia="宋体" w:hAnsi="Arial Narrow" w:cs="Arial Narrow"/>
                <w:snapToGrid w:val="0"/>
                <w:kern w:val="0"/>
                <w:sz w:val="18"/>
                <w:szCs w:val="18"/>
                <w:lang w:val="en-GB"/>
              </w:rPr>
              <w:t xml:space="preserve"> </w:t>
            </w:r>
          </w:p>
        </w:tc>
        <w:tc>
          <w:tcPr>
            <w:tcW w:w="115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26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26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22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r>
      <w:tr w:rsidR="000B609E">
        <w:trPr>
          <w:trHeight w:hRule="exact" w:val="907"/>
          <w:jc w:val="center"/>
        </w:trPr>
        <w:tc>
          <w:tcPr>
            <w:tcW w:w="1539" w:type="dxa"/>
            <w:vAlign w:val="center"/>
          </w:tcPr>
          <w:p w:rsidR="000B609E" w:rsidRDefault="00B220E1">
            <w:pPr>
              <w:autoSpaceDE w:val="0"/>
              <w:autoSpaceDN w:val="0"/>
              <w:spacing w:afterLines="0" w:after="0"/>
              <w:ind w:left="180" w:hangingChars="100" w:hanging="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3.Decrease in the current year</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342,862.85</w:t>
            </w:r>
          </w:p>
        </w:tc>
        <w:tc>
          <w:tcPr>
            <w:tcW w:w="115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457,061.16</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3,526,552.90</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55,889.57</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4,382,366.48</w:t>
            </w:r>
          </w:p>
        </w:tc>
      </w:tr>
      <w:tr w:rsidR="000B609E">
        <w:trPr>
          <w:trHeight w:hRule="exact" w:val="454"/>
          <w:jc w:val="center"/>
        </w:trPr>
        <w:tc>
          <w:tcPr>
            <w:tcW w:w="1539"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Disposal</w:t>
            </w:r>
          </w:p>
        </w:tc>
        <w:tc>
          <w:tcPr>
            <w:tcW w:w="1633"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342,862.85</w:t>
            </w:r>
          </w:p>
        </w:tc>
        <w:tc>
          <w:tcPr>
            <w:tcW w:w="115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457,061.16</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3,526,552.90</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55,889.57</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4,382,366.48</w:t>
            </w:r>
          </w:p>
        </w:tc>
      </w:tr>
      <w:tr w:rsidR="000B609E">
        <w:trPr>
          <w:trHeight w:hRule="exact" w:val="907"/>
          <w:jc w:val="center"/>
        </w:trPr>
        <w:tc>
          <w:tcPr>
            <w:tcW w:w="1539" w:type="dxa"/>
            <w:vAlign w:val="center"/>
          </w:tcPr>
          <w:p w:rsidR="000B609E" w:rsidRDefault="00B220E1">
            <w:pPr>
              <w:autoSpaceDE w:val="0"/>
              <w:autoSpaceDN w:val="0"/>
              <w:spacing w:afterLines="0" w:after="0"/>
              <w:ind w:leftChars="85" w:left="178"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Business combination</w:t>
            </w:r>
          </w:p>
        </w:tc>
        <w:tc>
          <w:tcPr>
            <w:tcW w:w="1633"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15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6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60"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2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675"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val="20"/>
          <w:jc w:val="center"/>
        </w:trPr>
        <w:tc>
          <w:tcPr>
            <w:tcW w:w="1539" w:type="dxa"/>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lang w:val="en-GB"/>
              </w:rPr>
              <w:t>4.Ending balance</w:t>
            </w:r>
          </w:p>
        </w:tc>
        <w:tc>
          <w:tcPr>
            <w:tcW w:w="1633" w:type="dxa"/>
            <w:vAlign w:val="center"/>
          </w:tcPr>
          <w:p w:rsidR="000B609E" w:rsidRDefault="00B220E1">
            <w:pPr>
              <w:spacing w:afterLines="0" w:after="0"/>
              <w:ind w:firstLineChars="0" w:firstLine="0"/>
              <w:jc w:val="right"/>
              <w:rPr>
                <w:rFonts w:ascii="Arial Narrow" w:hAnsi="Arial Narrow" w:cs="宋体"/>
                <w:color w:val="000000"/>
                <w:sz w:val="18"/>
                <w:szCs w:val="18"/>
                <w:lang w:val="en-GB"/>
              </w:rPr>
            </w:pPr>
            <w:r>
              <w:rPr>
                <w:rFonts w:ascii="Arial Narrow" w:hAnsi="Arial Narrow" w:cs="宋体"/>
                <w:color w:val="000000"/>
                <w:sz w:val="18"/>
                <w:szCs w:val="18"/>
              </w:rPr>
              <w:t>155,296,845.37</w:t>
            </w:r>
            <w:r>
              <w:rPr>
                <w:rFonts w:ascii="Arial Narrow" w:hAnsi="Arial Narrow" w:cs="宋体"/>
                <w:color w:val="000000"/>
                <w:sz w:val="18"/>
                <w:szCs w:val="18"/>
                <w:lang w:val="en-GB"/>
              </w:rPr>
              <w:t xml:space="preserve"> </w:t>
            </w:r>
          </w:p>
        </w:tc>
        <w:tc>
          <w:tcPr>
            <w:tcW w:w="1150" w:type="dxa"/>
            <w:vAlign w:val="center"/>
          </w:tcPr>
          <w:p w:rsidR="000B609E" w:rsidRDefault="00B220E1">
            <w:pPr>
              <w:spacing w:afterLines="0" w:after="0"/>
              <w:ind w:firstLineChars="0" w:firstLine="0"/>
              <w:jc w:val="right"/>
              <w:rPr>
                <w:rFonts w:ascii="Arial Narrow" w:hAnsi="Arial Narrow" w:cs="宋体"/>
                <w:color w:val="000000"/>
                <w:sz w:val="18"/>
                <w:szCs w:val="18"/>
                <w:lang w:val="en-GB"/>
              </w:rPr>
            </w:pPr>
            <w:r>
              <w:rPr>
                <w:rFonts w:ascii="Arial Narrow" w:hAnsi="Arial Narrow" w:cs="宋体"/>
                <w:color w:val="000000"/>
                <w:sz w:val="18"/>
                <w:szCs w:val="18"/>
              </w:rPr>
              <w:t>4,881,790.33</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38,578,790.10</w:t>
            </w:r>
          </w:p>
        </w:tc>
        <w:tc>
          <w:tcPr>
            <w:tcW w:w="1260"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13,397,765.29</w:t>
            </w:r>
          </w:p>
        </w:tc>
        <w:tc>
          <w:tcPr>
            <w:tcW w:w="122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8,209,949.43</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220,365,140.52</w:t>
            </w:r>
          </w:p>
        </w:tc>
      </w:tr>
      <w:tr w:rsidR="000B609E">
        <w:trPr>
          <w:trHeight w:hRule="exact" w:val="907"/>
          <w:jc w:val="center"/>
        </w:trPr>
        <w:tc>
          <w:tcPr>
            <w:tcW w:w="1539"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lastRenderedPageBreak/>
              <w:t>Impairment allowances</w:t>
            </w:r>
          </w:p>
        </w:tc>
        <w:tc>
          <w:tcPr>
            <w:tcW w:w="1633" w:type="dxa"/>
            <w:vAlign w:val="center"/>
          </w:tcPr>
          <w:p w:rsidR="000B609E" w:rsidRDefault="000B609E">
            <w:pPr>
              <w:spacing w:afterLines="0" w:after="0"/>
              <w:ind w:firstLine="360"/>
              <w:jc w:val="right"/>
              <w:rPr>
                <w:rFonts w:ascii="Arial Narrow" w:eastAsia="宋体" w:hAnsi="Arial Narrow" w:cs="Arial Narrow"/>
                <w:snapToGrid w:val="0"/>
                <w:color w:val="000000"/>
                <w:kern w:val="0"/>
                <w:sz w:val="18"/>
                <w:szCs w:val="18"/>
                <w:lang w:val="en-GB" w:eastAsia="en-US"/>
              </w:rPr>
            </w:pPr>
          </w:p>
        </w:tc>
        <w:tc>
          <w:tcPr>
            <w:tcW w:w="1150" w:type="dxa"/>
            <w:vAlign w:val="center"/>
          </w:tcPr>
          <w:p w:rsidR="000B609E" w:rsidRDefault="000B609E">
            <w:pPr>
              <w:spacing w:afterLines="0" w:after="0"/>
              <w:ind w:firstLine="360"/>
              <w:jc w:val="right"/>
              <w:rPr>
                <w:rFonts w:ascii="Arial Narrow" w:eastAsia="宋体" w:hAnsi="Arial Narrow" w:cs="Arial Narrow"/>
                <w:snapToGrid w:val="0"/>
                <w:color w:val="000000"/>
                <w:kern w:val="0"/>
                <w:sz w:val="18"/>
                <w:szCs w:val="18"/>
                <w:lang w:val="en-GB" w:eastAsia="en-US"/>
              </w:rPr>
            </w:pPr>
          </w:p>
        </w:tc>
        <w:tc>
          <w:tcPr>
            <w:tcW w:w="1260" w:type="dxa"/>
            <w:vAlign w:val="center"/>
          </w:tcPr>
          <w:p w:rsidR="000B609E" w:rsidRDefault="000B609E">
            <w:pPr>
              <w:spacing w:afterLines="0" w:after="0"/>
              <w:ind w:firstLine="360"/>
              <w:jc w:val="right"/>
              <w:rPr>
                <w:rFonts w:ascii="Arial Narrow" w:eastAsia="宋体" w:hAnsi="Arial Narrow" w:cs="Arial Narrow"/>
                <w:snapToGrid w:val="0"/>
                <w:color w:val="000000"/>
                <w:kern w:val="0"/>
                <w:sz w:val="18"/>
                <w:szCs w:val="18"/>
                <w:lang w:val="en-GB" w:eastAsia="en-US"/>
              </w:rPr>
            </w:pPr>
          </w:p>
        </w:tc>
        <w:tc>
          <w:tcPr>
            <w:tcW w:w="1260" w:type="dxa"/>
            <w:vAlign w:val="center"/>
          </w:tcPr>
          <w:p w:rsidR="000B609E" w:rsidRDefault="000B609E">
            <w:pPr>
              <w:spacing w:afterLines="0" w:after="0"/>
              <w:ind w:firstLine="360"/>
              <w:jc w:val="right"/>
              <w:rPr>
                <w:rFonts w:ascii="Arial Narrow" w:eastAsia="宋体" w:hAnsi="Arial Narrow" w:cs="Arial Narrow"/>
                <w:snapToGrid w:val="0"/>
                <w:color w:val="000000"/>
                <w:kern w:val="0"/>
                <w:sz w:val="18"/>
                <w:szCs w:val="18"/>
                <w:lang w:val="en-GB" w:eastAsia="en-US"/>
              </w:rPr>
            </w:pPr>
          </w:p>
        </w:tc>
        <w:tc>
          <w:tcPr>
            <w:tcW w:w="1229" w:type="dxa"/>
            <w:vAlign w:val="center"/>
          </w:tcPr>
          <w:p w:rsidR="000B609E" w:rsidRDefault="000B609E">
            <w:pPr>
              <w:spacing w:afterLines="0" w:after="0"/>
              <w:ind w:firstLine="360"/>
              <w:jc w:val="right"/>
              <w:rPr>
                <w:rFonts w:ascii="Arial Narrow" w:eastAsia="宋体" w:hAnsi="Arial Narrow" w:cs="Arial Narrow"/>
                <w:snapToGrid w:val="0"/>
                <w:color w:val="000000"/>
                <w:kern w:val="0"/>
                <w:sz w:val="18"/>
                <w:szCs w:val="18"/>
                <w:lang w:val="en-GB" w:eastAsia="en-US"/>
              </w:rPr>
            </w:pPr>
          </w:p>
        </w:tc>
        <w:tc>
          <w:tcPr>
            <w:tcW w:w="1675" w:type="dxa"/>
            <w:vAlign w:val="center"/>
          </w:tcPr>
          <w:p w:rsidR="000B609E" w:rsidRDefault="000B609E">
            <w:pPr>
              <w:spacing w:afterLines="0" w:after="0"/>
              <w:ind w:firstLineChars="0" w:firstLine="0"/>
              <w:jc w:val="right"/>
              <w:rPr>
                <w:rFonts w:ascii="Arial Narrow" w:eastAsia="宋体" w:hAnsi="Arial Narrow" w:cs="Arial Narrow"/>
                <w:b/>
                <w:bCs/>
                <w:snapToGrid w:val="0"/>
                <w:kern w:val="0"/>
                <w:sz w:val="18"/>
                <w:szCs w:val="18"/>
                <w:lang w:val="en-GB" w:eastAsia="en-US"/>
              </w:rPr>
            </w:pPr>
          </w:p>
        </w:tc>
      </w:tr>
      <w:tr w:rsidR="000B609E">
        <w:trPr>
          <w:trHeight w:hRule="exact" w:val="454"/>
          <w:jc w:val="center"/>
        </w:trPr>
        <w:tc>
          <w:tcPr>
            <w:tcW w:w="1539"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Net book value</w:t>
            </w:r>
          </w:p>
        </w:tc>
        <w:tc>
          <w:tcPr>
            <w:tcW w:w="1633" w:type="dxa"/>
            <w:vAlign w:val="center"/>
          </w:tcPr>
          <w:p w:rsidR="000B609E" w:rsidRDefault="000B609E">
            <w:pPr>
              <w:spacing w:afterLines="0" w:after="0"/>
              <w:ind w:firstLine="360"/>
              <w:jc w:val="right"/>
              <w:rPr>
                <w:rFonts w:ascii="Arial Narrow" w:eastAsia="宋体" w:hAnsi="Arial Narrow" w:cs="Arial Narrow"/>
                <w:snapToGrid w:val="0"/>
                <w:color w:val="000000"/>
                <w:kern w:val="0"/>
                <w:sz w:val="18"/>
                <w:szCs w:val="18"/>
                <w:lang w:val="en-GB" w:eastAsia="en-US"/>
              </w:rPr>
            </w:pPr>
          </w:p>
        </w:tc>
        <w:tc>
          <w:tcPr>
            <w:tcW w:w="1150" w:type="dxa"/>
            <w:vAlign w:val="center"/>
          </w:tcPr>
          <w:p w:rsidR="000B609E" w:rsidRDefault="000B609E">
            <w:pPr>
              <w:spacing w:afterLines="0" w:after="0"/>
              <w:ind w:firstLine="360"/>
              <w:jc w:val="right"/>
              <w:rPr>
                <w:rFonts w:ascii="Arial Narrow" w:eastAsia="宋体" w:hAnsi="Arial Narrow" w:cs="Arial Narrow"/>
                <w:snapToGrid w:val="0"/>
                <w:color w:val="000000"/>
                <w:kern w:val="0"/>
                <w:sz w:val="18"/>
                <w:szCs w:val="18"/>
                <w:lang w:val="en-GB" w:eastAsia="en-US"/>
              </w:rPr>
            </w:pPr>
          </w:p>
        </w:tc>
        <w:tc>
          <w:tcPr>
            <w:tcW w:w="1260" w:type="dxa"/>
            <w:vAlign w:val="center"/>
          </w:tcPr>
          <w:p w:rsidR="000B609E" w:rsidRDefault="000B609E">
            <w:pPr>
              <w:spacing w:afterLines="0" w:after="0"/>
              <w:ind w:firstLine="360"/>
              <w:jc w:val="right"/>
              <w:rPr>
                <w:rFonts w:ascii="Arial Narrow" w:eastAsia="宋体" w:hAnsi="Arial Narrow" w:cs="Arial Narrow"/>
                <w:snapToGrid w:val="0"/>
                <w:color w:val="000000"/>
                <w:kern w:val="0"/>
                <w:sz w:val="18"/>
                <w:szCs w:val="18"/>
                <w:lang w:val="en-GB" w:eastAsia="en-US"/>
              </w:rPr>
            </w:pPr>
          </w:p>
        </w:tc>
        <w:tc>
          <w:tcPr>
            <w:tcW w:w="1260" w:type="dxa"/>
            <w:vAlign w:val="center"/>
          </w:tcPr>
          <w:p w:rsidR="000B609E" w:rsidRDefault="000B609E">
            <w:pPr>
              <w:spacing w:afterLines="0" w:after="0"/>
              <w:ind w:firstLine="360"/>
              <w:jc w:val="right"/>
              <w:rPr>
                <w:rFonts w:ascii="Arial Narrow" w:eastAsia="宋体" w:hAnsi="Arial Narrow" w:cs="Arial Narrow"/>
                <w:snapToGrid w:val="0"/>
                <w:color w:val="000000"/>
                <w:kern w:val="0"/>
                <w:sz w:val="18"/>
                <w:szCs w:val="18"/>
                <w:lang w:val="en-GB" w:eastAsia="en-US"/>
              </w:rPr>
            </w:pPr>
          </w:p>
        </w:tc>
        <w:tc>
          <w:tcPr>
            <w:tcW w:w="1229" w:type="dxa"/>
            <w:vAlign w:val="center"/>
          </w:tcPr>
          <w:p w:rsidR="000B609E" w:rsidRDefault="000B609E">
            <w:pPr>
              <w:spacing w:afterLines="0" w:after="0"/>
              <w:ind w:firstLine="360"/>
              <w:jc w:val="right"/>
              <w:rPr>
                <w:rFonts w:ascii="Arial Narrow" w:eastAsia="宋体" w:hAnsi="Arial Narrow" w:cs="Arial Narrow"/>
                <w:snapToGrid w:val="0"/>
                <w:color w:val="000000"/>
                <w:kern w:val="0"/>
                <w:sz w:val="18"/>
                <w:szCs w:val="18"/>
                <w:lang w:val="en-GB" w:eastAsia="en-US"/>
              </w:rPr>
            </w:pPr>
          </w:p>
        </w:tc>
        <w:tc>
          <w:tcPr>
            <w:tcW w:w="1675" w:type="dxa"/>
            <w:vAlign w:val="center"/>
          </w:tcPr>
          <w:p w:rsidR="000B609E" w:rsidRDefault="000B609E">
            <w:pPr>
              <w:spacing w:afterLines="0" w:after="0"/>
              <w:ind w:firstLineChars="0" w:firstLine="0"/>
              <w:jc w:val="right"/>
              <w:rPr>
                <w:rFonts w:ascii="Arial Narrow" w:eastAsia="宋体" w:hAnsi="Arial Narrow" w:cs="Arial Narrow"/>
                <w:b/>
                <w:bCs/>
                <w:snapToGrid w:val="0"/>
                <w:kern w:val="0"/>
                <w:sz w:val="18"/>
                <w:szCs w:val="18"/>
                <w:lang w:val="en-GB"/>
              </w:rPr>
            </w:pPr>
          </w:p>
        </w:tc>
      </w:tr>
      <w:tr w:rsidR="000B609E">
        <w:trPr>
          <w:trHeight w:hRule="exact" w:val="611"/>
          <w:jc w:val="center"/>
        </w:trPr>
        <w:tc>
          <w:tcPr>
            <w:tcW w:w="1539"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lang w:val="en-GB"/>
              </w:rPr>
              <w:t>December 31, 20</w:t>
            </w:r>
            <w:r>
              <w:rPr>
                <w:rFonts w:ascii="Times New Roman" w:eastAsia="宋体" w:hAnsi="Times New Roman" w:cs="Times New Roman" w:hint="eastAsia"/>
                <w:snapToGrid w:val="0"/>
                <w:kern w:val="0"/>
                <w:sz w:val="18"/>
                <w:szCs w:val="18"/>
              </w:rPr>
              <w:t>20</w:t>
            </w:r>
          </w:p>
        </w:tc>
        <w:tc>
          <w:tcPr>
            <w:tcW w:w="1633"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371,833,288.75</w:t>
            </w:r>
          </w:p>
        </w:tc>
        <w:tc>
          <w:tcPr>
            <w:tcW w:w="1150"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1,236,868.43</w:t>
            </w:r>
          </w:p>
        </w:tc>
        <w:tc>
          <w:tcPr>
            <w:tcW w:w="1260"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3,255,356.34</w:t>
            </w:r>
          </w:p>
        </w:tc>
        <w:tc>
          <w:tcPr>
            <w:tcW w:w="1260"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4,461,215.50</w:t>
            </w:r>
          </w:p>
        </w:tc>
        <w:tc>
          <w:tcPr>
            <w:tcW w:w="1229"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10,531,949.49</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391,318,678.51</w:t>
            </w:r>
          </w:p>
        </w:tc>
      </w:tr>
      <w:tr w:rsidR="000B609E">
        <w:trPr>
          <w:trHeight w:hRule="exact" w:val="661"/>
          <w:jc w:val="center"/>
        </w:trPr>
        <w:tc>
          <w:tcPr>
            <w:tcW w:w="1539"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snapToGrid w:val="0"/>
                <w:kern w:val="0"/>
                <w:sz w:val="18"/>
                <w:szCs w:val="18"/>
                <w:lang w:val="en-GB"/>
              </w:rPr>
              <w:t>December 31, 201</w:t>
            </w:r>
            <w:r>
              <w:rPr>
                <w:rFonts w:ascii="Times New Roman" w:eastAsia="宋体" w:hAnsi="Times New Roman" w:cs="Times New Roman" w:hint="eastAsia"/>
                <w:snapToGrid w:val="0"/>
                <w:kern w:val="0"/>
                <w:sz w:val="18"/>
                <w:szCs w:val="18"/>
              </w:rPr>
              <w:t>9</w:t>
            </w:r>
          </w:p>
        </w:tc>
        <w:tc>
          <w:tcPr>
            <w:tcW w:w="1633"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367,768,192.12</w:t>
            </w:r>
          </w:p>
        </w:tc>
        <w:tc>
          <w:tcPr>
            <w:tcW w:w="1150"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1,771,790.45</w:t>
            </w:r>
          </w:p>
        </w:tc>
        <w:tc>
          <w:tcPr>
            <w:tcW w:w="1260"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3,670,110.70</w:t>
            </w:r>
          </w:p>
        </w:tc>
        <w:tc>
          <w:tcPr>
            <w:tcW w:w="1260"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2,777,274.19</w:t>
            </w:r>
          </w:p>
        </w:tc>
        <w:tc>
          <w:tcPr>
            <w:tcW w:w="1229"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8,013,834.47</w:t>
            </w:r>
          </w:p>
        </w:tc>
        <w:tc>
          <w:tcPr>
            <w:tcW w:w="16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384,001,201.93</w:t>
            </w:r>
          </w:p>
        </w:tc>
      </w:tr>
    </w:tbl>
    <w:p w:rsidR="000B609E" w:rsidRDefault="00B220E1">
      <w:pPr>
        <w:spacing w:beforeLines="50" w:before="156" w:after="156" w:line="360" w:lineRule="auto"/>
        <w:ind w:firstLine="480"/>
        <w:rPr>
          <w:rFonts w:ascii="Times New Roman" w:hAnsi="Times New Roman" w:cs="Times New Roman"/>
          <w:color w:val="000000"/>
          <w:sz w:val="24"/>
          <w:szCs w:val="24"/>
        </w:rPr>
      </w:pPr>
      <w:proofErr w:type="spellStart"/>
      <w:proofErr w:type="gramStart"/>
      <w:r>
        <w:rPr>
          <w:rFonts w:ascii="Times New Roman" w:hAnsi="Times New Roman" w:cs="Times New Roman" w:hint="eastAsia"/>
          <w:sz w:val="24"/>
          <w:szCs w:val="24"/>
        </w:rPr>
        <w:t>Note:</w:t>
      </w:r>
      <w:r>
        <w:rPr>
          <w:rFonts w:ascii="Times New Roman" w:hAnsi="Times New Roman" w:cs="Times New Roman"/>
          <w:sz w:val="24"/>
          <w:szCs w:val="24"/>
        </w:rPr>
        <w:t>The</w:t>
      </w:r>
      <w:proofErr w:type="spellEnd"/>
      <w:proofErr w:type="gramEnd"/>
      <w:r>
        <w:rPr>
          <w:rFonts w:ascii="Times New Roman" w:hAnsi="Times New Roman" w:cs="Times New Roman"/>
          <w:sz w:val="24"/>
          <w:szCs w:val="24"/>
        </w:rPr>
        <w:t xml:space="preserve"> depreciation expenses recognized in profit or loss for the year ended 31 December 20</w:t>
      </w:r>
      <w:r>
        <w:rPr>
          <w:rFonts w:ascii="Times New Roman" w:hAnsi="Times New Roman" w:cs="Times New Roman" w:hint="eastAsia"/>
          <w:sz w:val="24"/>
          <w:szCs w:val="24"/>
        </w:rPr>
        <w:t xml:space="preserve">20 </w:t>
      </w:r>
      <w:r>
        <w:rPr>
          <w:rFonts w:ascii="Times New Roman" w:hAnsi="Times New Roman" w:cs="Times New Roman"/>
          <w:sz w:val="24"/>
          <w:szCs w:val="24"/>
        </w:rPr>
        <w:t xml:space="preserve">was RMB </w:t>
      </w:r>
      <w:r>
        <w:rPr>
          <w:rFonts w:ascii="Times New Roman" w:hAnsi="Times New Roman" w:cs="Times New Roman" w:hint="eastAsia"/>
          <w:sz w:val="24"/>
          <w:szCs w:val="24"/>
        </w:rPr>
        <w:t>27,197,003.9</w:t>
      </w:r>
      <w:r w:rsidR="006529BA">
        <w:rPr>
          <w:rFonts w:ascii="Times New Roman" w:hAnsi="Times New Roman" w:cs="Times New Roman"/>
          <w:sz w:val="24"/>
          <w:szCs w:val="24"/>
        </w:rPr>
        <w:t>8</w:t>
      </w:r>
      <w:r>
        <w:rPr>
          <w:rFonts w:ascii="Times New Roman" w:hAnsi="Times New Roman" w:cs="Times New Roman"/>
          <w:color w:val="000000"/>
          <w:sz w:val="24"/>
          <w:szCs w:val="24"/>
        </w:rPr>
        <w:t>.</w:t>
      </w:r>
    </w:p>
    <w:p w:rsidR="000B609E" w:rsidRDefault="00B220E1">
      <w:pPr>
        <w:pStyle w:val="11"/>
        <w:numPr>
          <w:ilvl w:val="0"/>
          <w:numId w:val="26"/>
        </w:numPr>
        <w:spacing w:after="156"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 xml:space="preserve">The </w:t>
      </w:r>
      <w:r>
        <w:rPr>
          <w:rFonts w:ascii="Times New Roman" w:hAnsi="Times New Roman" w:cs="Times New Roman"/>
          <w:sz w:val="24"/>
          <w:szCs w:val="24"/>
        </w:rPr>
        <w:t>Bank</w:t>
      </w:r>
      <w:r>
        <w:rPr>
          <w:rFonts w:ascii="Times New Roman" w:hAnsi="Times New Roman" w:cs="Times New Roman" w:hint="eastAsia"/>
          <w:sz w:val="24"/>
          <w:szCs w:val="24"/>
        </w:rPr>
        <w:t>:</w:t>
      </w:r>
    </w:p>
    <w:tbl>
      <w:tblPr>
        <w:tblpPr w:leftFromText="180" w:rightFromText="180" w:vertAnchor="text" w:horzAnchor="page" w:tblpX="1233" w:tblpY="220"/>
        <w:tblOverlap w:val="never"/>
        <w:tblW w:w="9692" w:type="dxa"/>
        <w:tblBorders>
          <w:top w:val="double" w:sz="4" w:space="0" w:color="auto"/>
          <w:bottom w:val="double" w:sz="4" w:space="0" w:color="auto"/>
          <w:insideH w:val="single" w:sz="2" w:space="0" w:color="auto"/>
          <w:insideV w:val="single" w:sz="2" w:space="0" w:color="auto"/>
        </w:tblBorders>
        <w:tblLayout w:type="fixed"/>
        <w:tblLook w:val="04A0" w:firstRow="1" w:lastRow="0" w:firstColumn="1" w:lastColumn="0" w:noHBand="0" w:noVBand="1"/>
      </w:tblPr>
      <w:tblGrid>
        <w:gridCol w:w="2012"/>
        <w:gridCol w:w="1259"/>
        <w:gridCol w:w="1127"/>
        <w:gridCol w:w="1276"/>
        <w:gridCol w:w="1275"/>
        <w:gridCol w:w="1215"/>
        <w:gridCol w:w="1528"/>
      </w:tblGrid>
      <w:tr w:rsidR="000B609E">
        <w:trPr>
          <w:trHeight w:val="20"/>
          <w:tblHeader/>
        </w:trPr>
        <w:tc>
          <w:tcPr>
            <w:tcW w:w="2012" w:type="dxa"/>
            <w:vAlign w:val="center"/>
          </w:tcPr>
          <w:p w:rsidR="000B609E" w:rsidRDefault="00B220E1">
            <w:pPr>
              <w:autoSpaceDE w:val="0"/>
              <w:autoSpaceDN w:val="0"/>
              <w:spacing w:afterLines="0" w:after="0"/>
              <w:ind w:firstLine="361"/>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color w:val="000000"/>
                <w:kern w:val="0"/>
                <w:sz w:val="18"/>
                <w:szCs w:val="18"/>
              </w:rPr>
              <w:t>Items</w:t>
            </w:r>
          </w:p>
        </w:tc>
        <w:tc>
          <w:tcPr>
            <w:tcW w:w="1259" w:type="dxa"/>
            <w:vAlign w:val="center"/>
          </w:tcPr>
          <w:p w:rsidR="000B609E" w:rsidRDefault="00B220E1">
            <w:pPr>
              <w:autoSpaceDE w:val="0"/>
              <w:autoSpaceDN w:val="0"/>
              <w:spacing w:afterLines="0" w:after="0"/>
              <w:ind w:firstLineChars="0" w:firstLine="0"/>
              <w:jc w:val="center"/>
              <w:rPr>
                <w:rFonts w:ascii="Times New Roman" w:hAnsi="Times New Roman" w:cs="Times New Roman"/>
                <w:b/>
                <w:snapToGrid w:val="0"/>
                <w:kern w:val="0"/>
                <w:sz w:val="18"/>
                <w:szCs w:val="18"/>
              </w:rPr>
            </w:pPr>
            <w:r>
              <w:rPr>
                <w:rFonts w:ascii="Times New Roman" w:hAnsi="Times New Roman" w:cs="Times New Roman"/>
                <w:b/>
                <w:snapToGrid w:val="0"/>
                <w:kern w:val="0"/>
                <w:sz w:val="18"/>
                <w:szCs w:val="18"/>
                <w:lang w:val="en-GB"/>
              </w:rPr>
              <w:t>Building</w:t>
            </w:r>
            <w:r>
              <w:rPr>
                <w:rFonts w:ascii="Times New Roman" w:hAnsi="Times New Roman" w:cs="Times New Roman" w:hint="eastAsia"/>
                <w:b/>
                <w:snapToGrid w:val="0"/>
                <w:kern w:val="0"/>
                <w:sz w:val="18"/>
                <w:szCs w:val="18"/>
              </w:rPr>
              <w:t>s</w:t>
            </w:r>
          </w:p>
        </w:tc>
        <w:tc>
          <w:tcPr>
            <w:tcW w:w="1127" w:type="dxa"/>
            <w:vAlign w:val="center"/>
          </w:tcPr>
          <w:p w:rsidR="000B609E" w:rsidRDefault="00B220E1">
            <w:pPr>
              <w:autoSpaceDE w:val="0"/>
              <w:autoSpaceDN w:val="0"/>
              <w:spacing w:afterLines="0" w:after="0"/>
              <w:ind w:firstLineChars="0" w:firstLine="0"/>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kern w:val="0"/>
                <w:sz w:val="18"/>
                <w:szCs w:val="18"/>
              </w:rPr>
              <w:t>Motor vehicles</w:t>
            </w:r>
          </w:p>
        </w:tc>
        <w:tc>
          <w:tcPr>
            <w:tcW w:w="1276" w:type="dxa"/>
            <w:vAlign w:val="center"/>
          </w:tcPr>
          <w:p w:rsidR="000B609E" w:rsidRDefault="00B220E1">
            <w:pPr>
              <w:autoSpaceDE w:val="0"/>
              <w:autoSpaceDN w:val="0"/>
              <w:spacing w:afterLines="0" w:after="0"/>
              <w:ind w:firstLineChars="0" w:firstLine="0"/>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kern w:val="0"/>
                <w:sz w:val="18"/>
                <w:szCs w:val="18"/>
              </w:rPr>
              <w:t>Machinery equipment</w:t>
            </w:r>
          </w:p>
        </w:tc>
        <w:tc>
          <w:tcPr>
            <w:tcW w:w="1275" w:type="dxa"/>
            <w:vAlign w:val="center"/>
          </w:tcPr>
          <w:p w:rsidR="000B609E" w:rsidRDefault="00B220E1">
            <w:pPr>
              <w:autoSpaceDE w:val="0"/>
              <w:autoSpaceDN w:val="0"/>
              <w:spacing w:afterLines="0" w:after="0"/>
              <w:ind w:firstLineChars="0" w:firstLine="0"/>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kern w:val="0"/>
                <w:sz w:val="18"/>
                <w:szCs w:val="18"/>
              </w:rPr>
              <w:t>Electronic equipment</w:t>
            </w:r>
          </w:p>
        </w:tc>
        <w:tc>
          <w:tcPr>
            <w:tcW w:w="1215" w:type="dxa"/>
            <w:vAlign w:val="center"/>
          </w:tcPr>
          <w:p w:rsidR="000B609E" w:rsidRDefault="00B220E1">
            <w:pPr>
              <w:autoSpaceDE w:val="0"/>
              <w:autoSpaceDN w:val="0"/>
              <w:spacing w:afterLines="0" w:after="0"/>
              <w:ind w:firstLineChars="0" w:firstLine="0"/>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kern w:val="0"/>
                <w:sz w:val="18"/>
                <w:szCs w:val="18"/>
              </w:rPr>
              <w:t>Other equipment</w:t>
            </w:r>
          </w:p>
        </w:tc>
        <w:tc>
          <w:tcPr>
            <w:tcW w:w="1528" w:type="dxa"/>
            <w:vAlign w:val="center"/>
          </w:tcPr>
          <w:p w:rsidR="000B609E" w:rsidRDefault="00B220E1">
            <w:pPr>
              <w:autoSpaceDE w:val="0"/>
              <w:autoSpaceDN w:val="0"/>
              <w:spacing w:afterLines="0" w:after="0"/>
              <w:ind w:firstLineChars="110" w:firstLine="199"/>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snapToGrid w:val="0"/>
                <w:kern w:val="0"/>
                <w:sz w:val="18"/>
                <w:szCs w:val="18"/>
                <w:lang w:val="en-GB"/>
              </w:rPr>
              <w:t>Total</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Book value</w:t>
            </w:r>
          </w:p>
        </w:tc>
        <w:tc>
          <w:tcPr>
            <w:tcW w:w="1259" w:type="dxa"/>
            <w:vAlign w:val="center"/>
          </w:tcPr>
          <w:p w:rsidR="000B609E" w:rsidRDefault="000B609E">
            <w:pPr>
              <w:spacing w:afterLines="0" w:after="0"/>
              <w:ind w:firstLine="360"/>
              <w:jc w:val="right"/>
              <w:rPr>
                <w:rFonts w:ascii="Arial Narrow" w:eastAsia="宋体" w:hAnsi="Arial Narrow" w:cs="Times New Roman"/>
                <w:snapToGrid w:val="0"/>
                <w:color w:val="000000"/>
                <w:kern w:val="0"/>
                <w:sz w:val="18"/>
                <w:szCs w:val="18"/>
                <w:lang w:val="en-GB" w:eastAsia="en-US"/>
              </w:rPr>
            </w:pPr>
          </w:p>
        </w:tc>
        <w:tc>
          <w:tcPr>
            <w:tcW w:w="1127" w:type="dxa"/>
            <w:vAlign w:val="center"/>
          </w:tcPr>
          <w:p w:rsidR="000B609E" w:rsidRDefault="000B609E">
            <w:pPr>
              <w:spacing w:afterLines="0" w:after="0"/>
              <w:ind w:firstLine="360"/>
              <w:jc w:val="right"/>
              <w:rPr>
                <w:rFonts w:ascii="Arial Narrow" w:eastAsia="宋体" w:hAnsi="Arial Narrow" w:cs="Times New Roman"/>
                <w:snapToGrid w:val="0"/>
                <w:color w:val="000000"/>
                <w:kern w:val="0"/>
                <w:sz w:val="18"/>
                <w:szCs w:val="18"/>
                <w:lang w:val="en-GB" w:eastAsia="en-US"/>
              </w:rPr>
            </w:pPr>
          </w:p>
        </w:tc>
        <w:tc>
          <w:tcPr>
            <w:tcW w:w="1276" w:type="dxa"/>
            <w:vAlign w:val="center"/>
          </w:tcPr>
          <w:p w:rsidR="000B609E" w:rsidRDefault="000B609E">
            <w:pPr>
              <w:spacing w:afterLines="0" w:after="0"/>
              <w:ind w:firstLine="360"/>
              <w:jc w:val="right"/>
              <w:rPr>
                <w:rFonts w:ascii="Arial Narrow" w:eastAsia="宋体" w:hAnsi="Arial Narrow" w:cs="Times New Roman"/>
                <w:snapToGrid w:val="0"/>
                <w:color w:val="000000"/>
                <w:kern w:val="0"/>
                <w:sz w:val="18"/>
                <w:szCs w:val="18"/>
                <w:lang w:val="en-GB" w:eastAsia="en-US"/>
              </w:rPr>
            </w:pPr>
          </w:p>
        </w:tc>
        <w:tc>
          <w:tcPr>
            <w:tcW w:w="1275" w:type="dxa"/>
            <w:vAlign w:val="center"/>
          </w:tcPr>
          <w:p w:rsidR="000B609E" w:rsidRDefault="000B609E">
            <w:pPr>
              <w:spacing w:afterLines="0" w:after="0"/>
              <w:ind w:firstLine="360"/>
              <w:jc w:val="right"/>
              <w:rPr>
                <w:rFonts w:ascii="Arial Narrow" w:eastAsia="宋体" w:hAnsi="Arial Narrow" w:cs="Times New Roman"/>
                <w:snapToGrid w:val="0"/>
                <w:color w:val="000000"/>
                <w:kern w:val="0"/>
                <w:sz w:val="18"/>
                <w:szCs w:val="18"/>
                <w:lang w:val="en-GB" w:eastAsia="en-US"/>
              </w:rPr>
            </w:pPr>
          </w:p>
        </w:tc>
        <w:tc>
          <w:tcPr>
            <w:tcW w:w="1215" w:type="dxa"/>
            <w:vAlign w:val="center"/>
          </w:tcPr>
          <w:p w:rsidR="000B609E" w:rsidRDefault="000B609E">
            <w:pPr>
              <w:spacing w:afterLines="0" w:after="0"/>
              <w:ind w:firstLine="360"/>
              <w:jc w:val="right"/>
              <w:rPr>
                <w:rFonts w:ascii="Arial Narrow" w:eastAsia="宋体" w:hAnsi="Arial Narrow" w:cs="Times New Roman"/>
                <w:snapToGrid w:val="0"/>
                <w:color w:val="000000"/>
                <w:kern w:val="0"/>
                <w:sz w:val="18"/>
                <w:szCs w:val="18"/>
                <w:lang w:val="en-GB" w:eastAsia="en-US"/>
              </w:rPr>
            </w:pPr>
          </w:p>
        </w:tc>
        <w:tc>
          <w:tcPr>
            <w:tcW w:w="1528" w:type="dxa"/>
            <w:vAlign w:val="center"/>
          </w:tcPr>
          <w:p w:rsidR="000B609E" w:rsidRDefault="000B609E">
            <w:pPr>
              <w:spacing w:afterLines="0" w:after="0"/>
              <w:ind w:firstLine="360"/>
              <w:jc w:val="right"/>
              <w:rPr>
                <w:rFonts w:ascii="Arial Narrow" w:eastAsia="宋体" w:hAnsi="Arial Narrow" w:cs="Times New Roman"/>
                <w:snapToGrid w:val="0"/>
                <w:color w:val="000000"/>
                <w:kern w:val="0"/>
                <w:sz w:val="18"/>
                <w:szCs w:val="18"/>
                <w:lang w:val="en-GB" w:eastAsia="en-US"/>
              </w:rPr>
            </w:pP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eastAsia="en-US"/>
              </w:rPr>
              <w:t>1.</w:t>
            </w:r>
            <w:r>
              <w:rPr>
                <w:rFonts w:ascii="Times New Roman" w:eastAsia="宋体" w:hAnsi="Times New Roman" w:cs="Times New Roman"/>
                <w:snapToGrid w:val="0"/>
                <w:kern w:val="0"/>
                <w:sz w:val="18"/>
                <w:szCs w:val="18"/>
                <w:lang w:val="en-GB"/>
              </w:rPr>
              <w:t>Beginning balance</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483,712,759.83 </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5,922,358.76 </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41,606,067.94 </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15,451,528.79 </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12,988,166.13 </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559,680,881.45 </w:t>
            </w:r>
          </w:p>
        </w:tc>
      </w:tr>
      <w:tr w:rsidR="000B609E">
        <w:trPr>
          <w:trHeight w:hRule="exact" w:val="907"/>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2.Increase in the current year</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24,690,285.23</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26,000.00</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4,433,356.00</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5,481,134.29</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34,630,775.52</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Purchase</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26,000.00</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4,433,356.00</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5,481,134.29</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9,940,490.29</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Construction in progress</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24,690,285.23</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24,690,285.23</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Business combinations</w:t>
            </w:r>
          </w:p>
        </w:tc>
        <w:tc>
          <w:tcPr>
            <w:tcW w:w="12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127"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76"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75"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15"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528"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rPr>
              <w:t>Other</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hAnsi="Arial Narrow" w:cs="宋体"/>
                <w:color w:val="000000"/>
                <w:sz w:val="18"/>
                <w:szCs w:val="18"/>
              </w:rPr>
              <w:t xml:space="preserve">-   </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hAnsi="Arial Narrow" w:cs="宋体"/>
                <w:color w:val="000000"/>
                <w:sz w:val="18"/>
                <w:szCs w:val="18"/>
              </w:rPr>
              <w:t xml:space="preserve">-   </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hAnsi="Arial Narrow" w:cs="宋体"/>
                <w:color w:val="000000"/>
                <w:sz w:val="18"/>
                <w:szCs w:val="18"/>
              </w:rPr>
              <w:t xml:space="preserve">-   </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hAnsi="Arial Narrow" w:cs="宋体"/>
                <w:color w:val="000000"/>
                <w:sz w:val="18"/>
                <w:szCs w:val="18"/>
              </w:rPr>
              <w:t xml:space="preserve">-   </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hAnsi="Arial Narrow" w:cs="宋体"/>
                <w:color w:val="000000"/>
                <w:sz w:val="18"/>
                <w:szCs w:val="18"/>
              </w:rPr>
              <w:t xml:space="preserve">-   </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hAnsi="Arial Narrow" w:cs="宋体"/>
                <w:color w:val="000000"/>
                <w:sz w:val="18"/>
                <w:szCs w:val="18"/>
              </w:rPr>
              <w:t xml:space="preserve">-   </w:t>
            </w:r>
          </w:p>
        </w:tc>
      </w:tr>
      <w:tr w:rsidR="000B609E">
        <w:trPr>
          <w:trHeight w:hRule="exact" w:val="907"/>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3.Decrease in the current year</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356,924.94</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416,402.00</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3,650,870.00</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55,830.00</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4,480,026.94</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Disposal</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 xml:space="preserve">-   </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Business combinations</w:t>
            </w:r>
          </w:p>
        </w:tc>
        <w:tc>
          <w:tcPr>
            <w:tcW w:w="12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127"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76"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75"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15"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528"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4.Ending balance</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508,046,120.12</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5,922,358.76</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41,215,665.94</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16,234,014.79</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18,413,470.42</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589,831,630.03</w:t>
            </w:r>
          </w:p>
        </w:tc>
      </w:tr>
      <w:tr w:rsidR="000B609E">
        <w:trPr>
          <w:trHeight w:hRule="exact" w:val="907"/>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Accumulated depreciation</w:t>
            </w:r>
          </w:p>
        </w:tc>
        <w:tc>
          <w:tcPr>
            <w:tcW w:w="1259"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127"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276"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275"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215"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528" w:type="dxa"/>
            <w:vAlign w:val="center"/>
          </w:tcPr>
          <w:p w:rsidR="000B609E" w:rsidRDefault="000B609E">
            <w:pPr>
              <w:spacing w:afterLines="0" w:after="0"/>
              <w:ind w:firstLineChars="0" w:firstLine="0"/>
              <w:jc w:val="right"/>
              <w:rPr>
                <w:rFonts w:ascii="Arial Narrow" w:eastAsia="宋体" w:hAnsi="Arial Narrow" w:cs="Arial Narrow"/>
                <w:b/>
                <w:bCs/>
                <w:snapToGrid w:val="0"/>
                <w:kern w:val="0"/>
                <w:sz w:val="18"/>
                <w:szCs w:val="18"/>
                <w:lang w:val="en-GB" w:eastAsia="en-US"/>
              </w:rPr>
            </w:pP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1.Beginning balance</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132,020,464.08 </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4,315,133.11 </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38,114,376.63 </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12,758,227.84 </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 xml:space="preserve"> 5,099,251.75 </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192,307,453.41 </w:t>
            </w:r>
          </w:p>
        </w:tc>
      </w:tr>
      <w:tr w:rsidR="000B609E">
        <w:trPr>
          <w:trHeight w:val="20"/>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lastRenderedPageBreak/>
              <w:t>2.Increase in the current year</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19,685,551.87</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487,319.28</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329,569.82</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2,665,785.28</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2,881,819.39</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26,050,045.64</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Provision</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19,685,551.87</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487,319.28</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329,569.82</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2,665,785.28</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2,881,819.39</w:t>
            </w:r>
          </w:p>
        </w:tc>
        <w:tc>
          <w:tcPr>
            <w:tcW w:w="1528"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26,050,045.64</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rPr>
              <w:t>Other</w:t>
            </w:r>
          </w:p>
        </w:tc>
        <w:tc>
          <w:tcPr>
            <w:tcW w:w="12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127"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276"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275"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215"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1528" w:type="dxa"/>
            <w:shd w:val="clear" w:color="auto" w:fill="auto"/>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eastAsia="宋体" w:hAnsi="Arial Narrow" w:cs="Arial Narrow" w:hint="eastAsia"/>
                <w:b/>
                <w:bCs/>
                <w:snapToGrid w:val="0"/>
                <w:kern w:val="0"/>
                <w:sz w:val="18"/>
                <w:szCs w:val="18"/>
                <w:lang w:val="en-GB"/>
              </w:rPr>
              <w:t>-</w:t>
            </w:r>
          </w:p>
        </w:tc>
      </w:tr>
      <w:tr w:rsidR="000B609E">
        <w:trPr>
          <w:trHeight w:val="20"/>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3.Decrease in the current year</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342,862.85</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401,566.96</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3,526,552.90</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48,663.07</w:t>
            </w:r>
          </w:p>
        </w:tc>
        <w:tc>
          <w:tcPr>
            <w:tcW w:w="1528"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4,319,645.78</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Disposal</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342,862.85</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401,566.96</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3,526,552.90</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48,663.07</w:t>
            </w:r>
          </w:p>
        </w:tc>
        <w:tc>
          <w:tcPr>
            <w:tcW w:w="1528"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4,319,645.78</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Business combination</w:t>
            </w:r>
          </w:p>
        </w:tc>
        <w:tc>
          <w:tcPr>
            <w:tcW w:w="1259"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127"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76"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75"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215"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1528"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4.Ending balance</w:t>
            </w:r>
          </w:p>
        </w:tc>
        <w:tc>
          <w:tcPr>
            <w:tcW w:w="1259"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151,363,153.10</w:t>
            </w:r>
          </w:p>
        </w:tc>
        <w:tc>
          <w:tcPr>
            <w:tcW w:w="1127"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4,802,452.39</w:t>
            </w:r>
          </w:p>
        </w:tc>
        <w:tc>
          <w:tcPr>
            <w:tcW w:w="1276"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38,042,379.49</w:t>
            </w:r>
          </w:p>
        </w:tc>
        <w:tc>
          <w:tcPr>
            <w:tcW w:w="127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11,897,460.22</w:t>
            </w:r>
          </w:p>
        </w:tc>
        <w:tc>
          <w:tcPr>
            <w:tcW w:w="1215"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7,932,408.07</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214,037,853.27</w:t>
            </w:r>
          </w:p>
        </w:tc>
      </w:tr>
      <w:tr w:rsidR="000B609E">
        <w:trPr>
          <w:trHeight w:val="20"/>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Impairment allowances</w:t>
            </w:r>
          </w:p>
        </w:tc>
        <w:tc>
          <w:tcPr>
            <w:tcW w:w="1259"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127"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276"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275"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215"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1528" w:type="dxa"/>
            <w:vAlign w:val="center"/>
          </w:tcPr>
          <w:p w:rsidR="000B609E" w:rsidRDefault="000B609E">
            <w:pPr>
              <w:spacing w:afterLines="0" w:after="0"/>
              <w:ind w:firstLineChars="0" w:firstLine="0"/>
              <w:jc w:val="right"/>
              <w:rPr>
                <w:rFonts w:ascii="Arial Narrow" w:eastAsia="宋体" w:hAnsi="Arial Narrow" w:cs="Arial Narrow"/>
                <w:b/>
                <w:bCs/>
                <w:snapToGrid w:val="0"/>
                <w:kern w:val="0"/>
                <w:sz w:val="18"/>
                <w:szCs w:val="18"/>
                <w:lang w:val="en-GB" w:eastAsia="en-US"/>
              </w:rPr>
            </w:pP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Net book value</w:t>
            </w:r>
          </w:p>
        </w:tc>
        <w:tc>
          <w:tcPr>
            <w:tcW w:w="1259" w:type="dxa"/>
            <w:vAlign w:val="center"/>
          </w:tcPr>
          <w:p w:rsidR="000B609E" w:rsidRDefault="000B609E">
            <w:pPr>
              <w:spacing w:afterLines="0" w:after="0"/>
              <w:ind w:firstLine="360"/>
              <w:jc w:val="right"/>
              <w:rPr>
                <w:rFonts w:ascii="Arial Narrow" w:eastAsia="宋体" w:hAnsi="Arial Narrow" w:cs="Times New Roman"/>
                <w:snapToGrid w:val="0"/>
                <w:color w:val="000000"/>
                <w:kern w:val="0"/>
                <w:sz w:val="18"/>
                <w:szCs w:val="18"/>
                <w:lang w:val="en-GB" w:eastAsia="en-US"/>
              </w:rPr>
            </w:pPr>
          </w:p>
        </w:tc>
        <w:tc>
          <w:tcPr>
            <w:tcW w:w="1127" w:type="dxa"/>
            <w:vAlign w:val="center"/>
          </w:tcPr>
          <w:p w:rsidR="000B609E" w:rsidRDefault="000B609E">
            <w:pPr>
              <w:spacing w:afterLines="0" w:after="0"/>
              <w:ind w:firstLine="360"/>
              <w:jc w:val="right"/>
              <w:rPr>
                <w:rFonts w:ascii="Arial Narrow" w:eastAsia="宋体" w:hAnsi="Arial Narrow" w:cs="Times New Roman"/>
                <w:snapToGrid w:val="0"/>
                <w:color w:val="000000"/>
                <w:kern w:val="0"/>
                <w:sz w:val="18"/>
                <w:szCs w:val="18"/>
                <w:lang w:val="en-GB" w:eastAsia="en-US"/>
              </w:rPr>
            </w:pPr>
          </w:p>
        </w:tc>
        <w:tc>
          <w:tcPr>
            <w:tcW w:w="1276" w:type="dxa"/>
            <w:vAlign w:val="center"/>
          </w:tcPr>
          <w:p w:rsidR="000B609E" w:rsidRDefault="000B609E">
            <w:pPr>
              <w:spacing w:afterLines="0" w:after="0"/>
              <w:ind w:firstLine="360"/>
              <w:jc w:val="right"/>
              <w:rPr>
                <w:rFonts w:ascii="Arial Narrow" w:eastAsia="宋体" w:hAnsi="Arial Narrow" w:cs="Times New Roman"/>
                <w:snapToGrid w:val="0"/>
                <w:color w:val="000000"/>
                <w:kern w:val="0"/>
                <w:sz w:val="18"/>
                <w:szCs w:val="18"/>
                <w:lang w:val="en-GB" w:eastAsia="en-US"/>
              </w:rPr>
            </w:pPr>
          </w:p>
        </w:tc>
        <w:tc>
          <w:tcPr>
            <w:tcW w:w="1275" w:type="dxa"/>
            <w:vAlign w:val="center"/>
          </w:tcPr>
          <w:p w:rsidR="000B609E" w:rsidRDefault="000B609E">
            <w:pPr>
              <w:spacing w:afterLines="0" w:after="0"/>
              <w:ind w:firstLine="360"/>
              <w:jc w:val="right"/>
              <w:rPr>
                <w:rFonts w:ascii="Arial Narrow" w:eastAsia="宋体" w:hAnsi="Arial Narrow" w:cs="Times New Roman"/>
                <w:snapToGrid w:val="0"/>
                <w:color w:val="000000"/>
                <w:kern w:val="0"/>
                <w:sz w:val="18"/>
                <w:szCs w:val="18"/>
                <w:lang w:val="en-GB" w:eastAsia="en-US"/>
              </w:rPr>
            </w:pPr>
          </w:p>
        </w:tc>
        <w:tc>
          <w:tcPr>
            <w:tcW w:w="1215" w:type="dxa"/>
            <w:vAlign w:val="center"/>
          </w:tcPr>
          <w:p w:rsidR="000B609E" w:rsidRDefault="000B609E">
            <w:pPr>
              <w:spacing w:afterLines="0" w:after="0"/>
              <w:ind w:firstLine="360"/>
              <w:jc w:val="right"/>
              <w:rPr>
                <w:rFonts w:ascii="Arial Narrow" w:eastAsia="宋体" w:hAnsi="Arial Narrow" w:cs="Times New Roman"/>
                <w:snapToGrid w:val="0"/>
                <w:color w:val="000000"/>
                <w:kern w:val="0"/>
                <w:sz w:val="18"/>
                <w:szCs w:val="18"/>
                <w:lang w:val="en-GB" w:eastAsia="en-US"/>
              </w:rPr>
            </w:pPr>
          </w:p>
        </w:tc>
        <w:tc>
          <w:tcPr>
            <w:tcW w:w="1528" w:type="dxa"/>
            <w:vAlign w:val="center"/>
          </w:tcPr>
          <w:p w:rsidR="000B609E" w:rsidRDefault="000B609E">
            <w:pPr>
              <w:spacing w:afterLines="0" w:after="0"/>
              <w:ind w:firstLineChars="0" w:firstLine="0"/>
              <w:jc w:val="right"/>
              <w:rPr>
                <w:rFonts w:ascii="Arial Narrow" w:eastAsia="宋体" w:hAnsi="Arial Narrow" w:cs="Arial Narrow"/>
                <w:b/>
                <w:bCs/>
                <w:snapToGrid w:val="0"/>
                <w:kern w:val="0"/>
                <w:sz w:val="18"/>
                <w:szCs w:val="18"/>
                <w:lang w:val="en-GB"/>
              </w:rPr>
            </w:pP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b/>
                <w:bCs/>
                <w:snapToGrid w:val="0"/>
                <w:kern w:val="0"/>
                <w:sz w:val="18"/>
                <w:szCs w:val="18"/>
              </w:rPr>
            </w:pPr>
            <w:r>
              <w:rPr>
                <w:rFonts w:ascii="Times New Roman" w:eastAsia="宋体" w:hAnsi="Times New Roman" w:cs="Times New Roman"/>
                <w:b/>
                <w:bCs/>
                <w:snapToGrid w:val="0"/>
                <w:kern w:val="0"/>
                <w:sz w:val="18"/>
                <w:szCs w:val="18"/>
                <w:lang w:val="en-GB"/>
              </w:rPr>
              <w:t>December 31, 20</w:t>
            </w:r>
            <w:r>
              <w:rPr>
                <w:rFonts w:ascii="Times New Roman" w:eastAsia="宋体" w:hAnsi="Times New Roman" w:cs="Times New Roman" w:hint="eastAsia"/>
                <w:b/>
                <w:bCs/>
                <w:snapToGrid w:val="0"/>
                <w:kern w:val="0"/>
                <w:sz w:val="18"/>
                <w:szCs w:val="18"/>
              </w:rPr>
              <w:t>20</w:t>
            </w:r>
          </w:p>
        </w:tc>
        <w:tc>
          <w:tcPr>
            <w:tcW w:w="1259"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356,682,967.02</w:t>
            </w:r>
          </w:p>
        </w:tc>
        <w:tc>
          <w:tcPr>
            <w:tcW w:w="1127"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1,119,906.37</w:t>
            </w:r>
          </w:p>
        </w:tc>
        <w:tc>
          <w:tcPr>
            <w:tcW w:w="1276"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3,173,286.45</w:t>
            </w:r>
          </w:p>
        </w:tc>
        <w:tc>
          <w:tcPr>
            <w:tcW w:w="12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4,336,554.57</w:t>
            </w:r>
          </w:p>
        </w:tc>
        <w:tc>
          <w:tcPr>
            <w:tcW w:w="121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10,481,062.35</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375,793,776.76</w:t>
            </w:r>
          </w:p>
        </w:tc>
      </w:tr>
      <w:tr w:rsidR="000B609E">
        <w:trPr>
          <w:trHeight w:hRule="exact" w:val="454"/>
        </w:trPr>
        <w:tc>
          <w:tcPr>
            <w:tcW w:w="2012" w:type="dxa"/>
            <w:vAlign w:val="center"/>
          </w:tcPr>
          <w:p w:rsidR="000B609E" w:rsidRDefault="00B220E1">
            <w:pPr>
              <w:autoSpaceDE w:val="0"/>
              <w:autoSpaceDN w:val="0"/>
              <w:spacing w:afterLines="0" w:after="0"/>
              <w:ind w:firstLineChars="0" w:firstLine="0"/>
              <w:rPr>
                <w:rFonts w:ascii="Times New Roman" w:eastAsia="宋体" w:hAnsi="Times New Roman" w:cs="Times New Roman"/>
                <w:b/>
                <w:bCs/>
                <w:snapToGrid w:val="0"/>
                <w:kern w:val="0"/>
                <w:sz w:val="18"/>
                <w:szCs w:val="18"/>
              </w:rPr>
            </w:pPr>
            <w:r>
              <w:rPr>
                <w:rFonts w:ascii="Times New Roman" w:eastAsia="宋体" w:hAnsi="Times New Roman" w:cs="Times New Roman"/>
                <w:b/>
                <w:bCs/>
                <w:snapToGrid w:val="0"/>
                <w:kern w:val="0"/>
                <w:sz w:val="18"/>
                <w:szCs w:val="18"/>
                <w:lang w:val="en-GB"/>
              </w:rPr>
              <w:t>December 31, 201</w:t>
            </w:r>
            <w:r>
              <w:rPr>
                <w:rFonts w:ascii="Times New Roman" w:eastAsia="宋体" w:hAnsi="Times New Roman" w:cs="Times New Roman" w:hint="eastAsia"/>
                <w:b/>
                <w:bCs/>
                <w:snapToGrid w:val="0"/>
                <w:kern w:val="0"/>
                <w:sz w:val="18"/>
                <w:szCs w:val="18"/>
              </w:rPr>
              <w:t>9</w:t>
            </w:r>
          </w:p>
        </w:tc>
        <w:tc>
          <w:tcPr>
            <w:tcW w:w="1259"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351,692,295.75 </w:t>
            </w:r>
          </w:p>
        </w:tc>
        <w:tc>
          <w:tcPr>
            <w:tcW w:w="1127"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1,607,225.65 </w:t>
            </w:r>
          </w:p>
        </w:tc>
        <w:tc>
          <w:tcPr>
            <w:tcW w:w="1276"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 3,491,691.31 </w:t>
            </w:r>
          </w:p>
        </w:tc>
        <w:tc>
          <w:tcPr>
            <w:tcW w:w="127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 2,693,300.95 </w:t>
            </w:r>
          </w:p>
        </w:tc>
        <w:tc>
          <w:tcPr>
            <w:tcW w:w="1215"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 7,888,914.38 </w:t>
            </w:r>
          </w:p>
        </w:tc>
        <w:tc>
          <w:tcPr>
            <w:tcW w:w="1528"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367,373,428.04 </w:t>
            </w:r>
          </w:p>
        </w:tc>
      </w:tr>
    </w:tbl>
    <w:p w:rsidR="000B609E" w:rsidRDefault="00B220E1">
      <w:pPr>
        <w:spacing w:beforeLines="50" w:before="156" w:after="156" w:line="360" w:lineRule="auto"/>
        <w:ind w:firstLine="480"/>
        <w:rPr>
          <w:rFonts w:ascii="Times New Roman" w:hAnsi="Times New Roman" w:cs="Times New Roman"/>
          <w:sz w:val="24"/>
          <w:szCs w:val="24"/>
        </w:rPr>
      </w:pPr>
      <w:proofErr w:type="spellStart"/>
      <w:proofErr w:type="gramStart"/>
      <w:r>
        <w:rPr>
          <w:rFonts w:ascii="Times New Roman" w:hAnsi="Times New Roman" w:cs="Times New Roman" w:hint="eastAsia"/>
          <w:sz w:val="24"/>
          <w:szCs w:val="24"/>
        </w:rPr>
        <w:t>Note:</w:t>
      </w:r>
      <w:r>
        <w:rPr>
          <w:rFonts w:ascii="Times New Roman" w:hAnsi="Times New Roman" w:cs="Times New Roman"/>
          <w:sz w:val="24"/>
          <w:szCs w:val="24"/>
        </w:rPr>
        <w:t>The</w:t>
      </w:r>
      <w:proofErr w:type="spellEnd"/>
      <w:proofErr w:type="gramEnd"/>
      <w:r>
        <w:rPr>
          <w:rFonts w:ascii="Times New Roman" w:hAnsi="Times New Roman" w:cs="Times New Roman"/>
          <w:sz w:val="24"/>
          <w:szCs w:val="24"/>
        </w:rPr>
        <w:t xml:space="preserve"> depreciation expenses recognized in profit or loss for the year ended 31 December 20</w:t>
      </w:r>
      <w:r>
        <w:rPr>
          <w:rFonts w:ascii="Times New Roman" w:hAnsi="Times New Roman" w:cs="Times New Roman" w:hint="eastAsia"/>
          <w:sz w:val="24"/>
          <w:szCs w:val="24"/>
        </w:rPr>
        <w:t>20</w:t>
      </w:r>
      <w:r>
        <w:rPr>
          <w:rFonts w:ascii="Times New Roman" w:hAnsi="Times New Roman" w:cs="Times New Roman"/>
          <w:sz w:val="24"/>
          <w:szCs w:val="24"/>
        </w:rPr>
        <w:t xml:space="preserve"> was RMB</w:t>
      </w:r>
      <w:r>
        <w:rPr>
          <w:rFonts w:ascii="Times New Roman" w:hAnsi="Times New Roman" w:cs="Times New Roman" w:hint="eastAsia"/>
          <w:sz w:val="24"/>
          <w:szCs w:val="24"/>
        </w:rPr>
        <w:t xml:space="preserve"> 26,050,045.6</w:t>
      </w:r>
      <w:r w:rsidR="006529BA">
        <w:rPr>
          <w:rFonts w:ascii="Times New Roman" w:hAnsi="Times New Roman" w:cs="Times New Roman"/>
          <w:sz w:val="24"/>
          <w:szCs w:val="24"/>
        </w:rPr>
        <w:t>4</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At the end of the year, there were no obvious signs of impairment for </w:t>
      </w:r>
      <w:r>
        <w:rPr>
          <w:rFonts w:ascii="Times New Roman" w:hAnsi="Times New Roman" w:cs="Times New Roman" w:hint="eastAsia"/>
          <w:sz w:val="24"/>
          <w:szCs w:val="24"/>
        </w:rPr>
        <w:t>fixed assets</w:t>
      </w:r>
      <w:r>
        <w:rPr>
          <w:rFonts w:ascii="Times New Roman" w:hAnsi="Times New Roman" w:cs="Times New Roman"/>
          <w:sz w:val="24"/>
          <w:szCs w:val="24"/>
        </w:rPr>
        <w:t>.</w:t>
      </w:r>
    </w:p>
    <w:p w:rsidR="000B609E" w:rsidRDefault="00B220E1">
      <w:pPr>
        <w:pStyle w:val="21"/>
        <w:spacing w:beforeLines="50" w:before="156" w:afterLines="50" w:after="156" w:line="360" w:lineRule="auto"/>
        <w:ind w:firstLineChars="100" w:firstLine="241"/>
        <w:rPr>
          <w:rFonts w:ascii="Times New Roman" w:hAnsi="Times New Roman" w:cs="Times New Roman"/>
          <w:sz w:val="24"/>
          <w:szCs w:val="24"/>
        </w:rPr>
      </w:pPr>
      <w:r>
        <w:rPr>
          <w:rFonts w:ascii="Times New Roman" w:hAnsi="Times New Roman" w:cs="Times New Roman" w:hint="eastAsia"/>
          <w:sz w:val="24"/>
          <w:szCs w:val="24"/>
        </w:rPr>
        <w:t>13.Construction in progress</w:t>
      </w:r>
    </w:p>
    <w:p w:rsidR="000B609E" w:rsidRDefault="00B220E1">
      <w:pPr>
        <w:pStyle w:val="11"/>
        <w:numPr>
          <w:ilvl w:val="0"/>
          <w:numId w:val="27"/>
        </w:numPr>
        <w:spacing w:afterLines="0" w:after="0" w:line="360" w:lineRule="auto"/>
        <w:ind w:leftChars="200" w:left="420" w:firstLineChars="0" w:firstLine="0"/>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hint="eastAsia"/>
          <w:sz w:val="24"/>
          <w:szCs w:val="24"/>
        </w:rPr>
        <w:t>he Group:</w:t>
      </w:r>
    </w:p>
    <w:tbl>
      <w:tblPr>
        <w:tblpPr w:leftFromText="180" w:rightFromText="180" w:vertAnchor="text" w:horzAnchor="page" w:tblpX="1232" w:tblpY="138"/>
        <w:tblOverlap w:val="never"/>
        <w:tblW w:w="9672" w:type="dxa"/>
        <w:tblLayout w:type="fixed"/>
        <w:tblLook w:val="04A0" w:firstRow="1" w:lastRow="0" w:firstColumn="1" w:lastColumn="0" w:noHBand="0" w:noVBand="1"/>
      </w:tblPr>
      <w:tblGrid>
        <w:gridCol w:w="2244"/>
        <w:gridCol w:w="1560"/>
        <w:gridCol w:w="1476"/>
        <w:gridCol w:w="1764"/>
        <w:gridCol w:w="1356"/>
        <w:gridCol w:w="1272"/>
      </w:tblGrid>
      <w:tr w:rsidR="000B609E">
        <w:trPr>
          <w:trHeight w:val="465"/>
          <w:tblHeader/>
        </w:trPr>
        <w:tc>
          <w:tcPr>
            <w:tcW w:w="2244" w:type="dxa"/>
            <w:vMerge w:val="restart"/>
            <w:tcBorders>
              <w:top w:val="double" w:sz="6" w:space="0" w:color="auto"/>
              <w:left w:val="nil"/>
              <w:bottom w:val="single" w:sz="8" w:space="0" w:color="000000"/>
              <w:right w:val="single" w:sz="8" w:space="0" w:color="auto"/>
            </w:tcBorders>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color w:val="000000"/>
                <w:kern w:val="0"/>
                <w:sz w:val="18"/>
                <w:szCs w:val="18"/>
              </w:rPr>
              <w:t>Items</w:t>
            </w:r>
          </w:p>
        </w:tc>
        <w:tc>
          <w:tcPr>
            <w:tcW w:w="7428" w:type="dxa"/>
            <w:gridSpan w:val="5"/>
            <w:tcBorders>
              <w:top w:val="double" w:sz="6" w:space="0" w:color="auto"/>
              <w:left w:val="nil"/>
              <w:bottom w:val="single" w:sz="8" w:space="0" w:color="auto"/>
              <w:right w:val="nil"/>
            </w:tcBorders>
            <w:shd w:val="clear" w:color="auto" w:fill="auto"/>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bCs/>
                <w:color w:val="000000"/>
                <w:kern w:val="0"/>
                <w:sz w:val="18"/>
                <w:szCs w:val="18"/>
              </w:rPr>
              <w:t>Group</w:t>
            </w:r>
          </w:p>
        </w:tc>
      </w:tr>
      <w:tr w:rsidR="000B609E">
        <w:trPr>
          <w:trHeight w:val="361"/>
          <w:tblHeader/>
        </w:trPr>
        <w:tc>
          <w:tcPr>
            <w:tcW w:w="2244" w:type="dxa"/>
            <w:vMerge/>
            <w:tcBorders>
              <w:top w:val="double" w:sz="6" w:space="0" w:color="auto"/>
              <w:left w:val="nil"/>
              <w:bottom w:val="single" w:sz="8" w:space="0" w:color="000000"/>
              <w:right w:val="single" w:sz="8" w:space="0" w:color="auto"/>
            </w:tcBorders>
            <w:vAlign w:val="center"/>
          </w:tcPr>
          <w:p w:rsidR="000B609E" w:rsidRDefault="000B609E">
            <w:pPr>
              <w:spacing w:afterLines="0" w:after="0"/>
              <w:ind w:firstLine="422"/>
              <w:jc w:val="center"/>
              <w:rPr>
                <w:rFonts w:ascii="宋体" w:hAnsi="宋体" w:cs="宋体"/>
                <w:b/>
                <w:bCs/>
                <w:color w:val="000000"/>
              </w:rPr>
            </w:pPr>
          </w:p>
        </w:tc>
        <w:tc>
          <w:tcPr>
            <w:tcW w:w="7428" w:type="dxa"/>
            <w:gridSpan w:val="5"/>
            <w:tcBorders>
              <w:top w:val="single" w:sz="8" w:space="0" w:color="auto"/>
              <w:left w:val="nil"/>
              <w:bottom w:val="single" w:sz="8" w:space="0" w:color="auto"/>
              <w:right w:val="nil"/>
            </w:tcBorders>
            <w:shd w:val="clear" w:color="auto" w:fill="auto"/>
            <w:vAlign w:val="center"/>
          </w:tcPr>
          <w:p w:rsidR="000B609E" w:rsidRDefault="00B220E1">
            <w:pPr>
              <w:spacing w:afterLines="0" w:after="0"/>
              <w:ind w:firstLine="361"/>
              <w:jc w:val="center"/>
              <w:rPr>
                <w:rFonts w:ascii="Calibri" w:hAnsi="Calibri" w:cs="宋体"/>
                <w:b/>
                <w:bCs/>
                <w:color w:val="000000"/>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val="490"/>
          <w:tblHeader/>
        </w:trPr>
        <w:tc>
          <w:tcPr>
            <w:tcW w:w="2244" w:type="dxa"/>
            <w:vMerge/>
            <w:tcBorders>
              <w:top w:val="double" w:sz="6" w:space="0" w:color="auto"/>
              <w:left w:val="nil"/>
              <w:bottom w:val="single" w:sz="8" w:space="0" w:color="000000"/>
              <w:right w:val="single" w:sz="8" w:space="0" w:color="auto"/>
            </w:tcBorders>
            <w:vAlign w:val="center"/>
          </w:tcPr>
          <w:p w:rsidR="000B609E" w:rsidRDefault="000B609E">
            <w:pPr>
              <w:spacing w:afterLines="0" w:after="0"/>
              <w:ind w:firstLine="422"/>
              <w:jc w:val="center"/>
              <w:rPr>
                <w:rFonts w:ascii="宋体" w:hAnsi="宋体" w:cs="宋体"/>
                <w:b/>
                <w:bCs/>
                <w:color w:val="000000"/>
              </w:rPr>
            </w:pPr>
          </w:p>
        </w:tc>
        <w:tc>
          <w:tcPr>
            <w:tcW w:w="1560" w:type="dxa"/>
            <w:tcBorders>
              <w:top w:val="nil"/>
              <w:left w:val="nil"/>
              <w:bottom w:val="single" w:sz="8" w:space="0" w:color="auto"/>
              <w:right w:val="single" w:sz="8" w:space="0" w:color="auto"/>
            </w:tcBorders>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bCs/>
                <w:color w:val="000000"/>
                <w:kern w:val="0"/>
                <w:sz w:val="18"/>
                <w:szCs w:val="18"/>
              </w:rPr>
              <w:t>Beginning balance</w:t>
            </w:r>
          </w:p>
        </w:tc>
        <w:tc>
          <w:tcPr>
            <w:tcW w:w="1476" w:type="dxa"/>
            <w:tcBorders>
              <w:top w:val="nil"/>
              <w:left w:val="nil"/>
              <w:bottom w:val="single" w:sz="8" w:space="0" w:color="auto"/>
              <w:right w:val="single" w:sz="8" w:space="0" w:color="auto"/>
            </w:tcBorders>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bCs/>
                <w:color w:val="000000"/>
                <w:kern w:val="0"/>
                <w:sz w:val="18"/>
                <w:szCs w:val="18"/>
              </w:rPr>
              <w:t>Additions</w:t>
            </w:r>
          </w:p>
        </w:tc>
        <w:tc>
          <w:tcPr>
            <w:tcW w:w="1764" w:type="dxa"/>
            <w:tcBorders>
              <w:top w:val="nil"/>
              <w:left w:val="nil"/>
              <w:bottom w:val="single" w:sz="8" w:space="0" w:color="auto"/>
              <w:right w:val="single" w:sz="8" w:space="0" w:color="auto"/>
            </w:tcBorders>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bCs/>
                <w:color w:val="000000"/>
                <w:kern w:val="0"/>
                <w:sz w:val="18"/>
                <w:szCs w:val="18"/>
              </w:rPr>
              <w:t>Transfer out to fixed assets</w:t>
            </w:r>
          </w:p>
        </w:tc>
        <w:tc>
          <w:tcPr>
            <w:tcW w:w="1356" w:type="dxa"/>
            <w:tcBorders>
              <w:top w:val="nil"/>
              <w:left w:val="nil"/>
              <w:bottom w:val="single" w:sz="8" w:space="0" w:color="auto"/>
              <w:right w:val="single" w:sz="8" w:space="0" w:color="auto"/>
            </w:tcBorders>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color w:val="000000"/>
                <w:kern w:val="0"/>
                <w:sz w:val="18"/>
                <w:szCs w:val="18"/>
              </w:rPr>
              <w:t>Other decrease</w:t>
            </w:r>
          </w:p>
        </w:tc>
        <w:tc>
          <w:tcPr>
            <w:tcW w:w="1272" w:type="dxa"/>
            <w:tcBorders>
              <w:top w:val="nil"/>
              <w:left w:val="nil"/>
              <w:bottom w:val="single" w:sz="8" w:space="0" w:color="auto"/>
              <w:right w:val="nil"/>
            </w:tcBorders>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color w:val="000000"/>
                <w:kern w:val="0"/>
                <w:sz w:val="18"/>
                <w:szCs w:val="18"/>
              </w:rPr>
              <w:t>Ending balance</w:t>
            </w:r>
          </w:p>
        </w:tc>
      </w:tr>
      <w:tr w:rsidR="000B609E">
        <w:trPr>
          <w:trHeight w:hRule="exact" w:val="454"/>
          <w:tblHead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r>
              <w:rPr>
                <w:rFonts w:ascii="Times New Roman" w:hAnsi="Times New Roman" w:cs="Times New Roman" w:hint="eastAsia"/>
                <w:snapToGrid w:val="0"/>
                <w:kern w:val="0"/>
                <w:sz w:val="18"/>
                <w:szCs w:val="18"/>
                <w:lang w:val="en-GB"/>
              </w:rPr>
              <w:t>C</w:t>
            </w:r>
            <w:r>
              <w:rPr>
                <w:rFonts w:ascii="Times New Roman" w:hAnsi="Times New Roman" w:cs="Times New Roman"/>
                <w:snapToGrid w:val="0"/>
                <w:kern w:val="0"/>
                <w:sz w:val="18"/>
                <w:szCs w:val="18"/>
                <w:lang w:val="en-GB"/>
              </w:rPr>
              <w:t>itizen cards project</w:t>
            </w:r>
          </w:p>
        </w:tc>
        <w:tc>
          <w:tcPr>
            <w:tcW w:w="156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37,168,171.02</w:t>
            </w:r>
          </w:p>
        </w:tc>
        <w:tc>
          <w:tcPr>
            <w:tcW w:w="147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764"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nil"/>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37,168,171.02</w:t>
            </w:r>
          </w:p>
        </w:tc>
      </w:tr>
      <w:tr w:rsidR="000B609E">
        <w:trPr>
          <w:trHeight w:hRule="exact" w:val="1361"/>
          <w:tblHead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proofErr w:type="spellStart"/>
            <w:r>
              <w:rPr>
                <w:rFonts w:ascii="Times New Roman" w:hAnsi="Times New Roman" w:cs="Times New Roman"/>
                <w:snapToGrid w:val="0"/>
                <w:kern w:val="0"/>
                <w:sz w:val="18"/>
                <w:szCs w:val="18"/>
                <w:lang w:val="en-GB"/>
              </w:rPr>
              <w:t>Jiangyan</w:t>
            </w:r>
            <w:proofErr w:type="spellEnd"/>
            <w:r>
              <w:rPr>
                <w:rFonts w:ascii="Times New Roman" w:hAnsi="Times New Roman" w:cs="Times New Roman"/>
                <w:snapToGrid w:val="0"/>
                <w:kern w:val="0"/>
                <w:sz w:val="18"/>
                <w:szCs w:val="18"/>
                <w:lang w:val="en-GB"/>
              </w:rPr>
              <w:t xml:space="preserve"> </w:t>
            </w:r>
            <w:proofErr w:type="spellStart"/>
            <w:r>
              <w:rPr>
                <w:rFonts w:ascii="Times New Roman" w:hAnsi="Times New Roman" w:cs="Times New Roman"/>
                <w:snapToGrid w:val="0"/>
                <w:kern w:val="0"/>
                <w:sz w:val="18"/>
                <w:szCs w:val="18"/>
                <w:lang w:val="en-GB"/>
              </w:rPr>
              <w:t>Runjing</w:t>
            </w:r>
            <w:proofErr w:type="spellEnd"/>
            <w:r>
              <w:rPr>
                <w:rFonts w:ascii="Times New Roman" w:hAnsi="Times New Roman" w:cs="Times New Roman"/>
                <w:snapToGrid w:val="0"/>
                <w:kern w:val="0"/>
                <w:sz w:val="18"/>
                <w:szCs w:val="18"/>
                <w:lang w:val="en-GB"/>
              </w:rPr>
              <w:t xml:space="preserve"> international Garden real estate</w:t>
            </w:r>
          </w:p>
        </w:tc>
        <w:tc>
          <w:tcPr>
            <w:tcW w:w="156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17,835,960.56</w:t>
            </w:r>
          </w:p>
        </w:tc>
        <w:tc>
          <w:tcPr>
            <w:tcW w:w="147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73,740.00</w:t>
            </w:r>
          </w:p>
        </w:tc>
        <w:tc>
          <w:tcPr>
            <w:tcW w:w="1764"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nil"/>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17,909,700.56</w:t>
            </w:r>
          </w:p>
        </w:tc>
      </w:tr>
      <w:tr w:rsidR="000B609E">
        <w:trPr>
          <w:trHeight w:hRule="exact" w:val="1361"/>
          <w:tblHead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r>
              <w:rPr>
                <w:rFonts w:ascii="Times New Roman" w:hAnsi="Times New Roman" w:cs="Times New Roman"/>
                <w:snapToGrid w:val="0"/>
                <w:kern w:val="0"/>
                <w:sz w:val="18"/>
                <w:szCs w:val="18"/>
                <w:lang w:val="en-GB"/>
              </w:rPr>
              <w:t>Software for management accountants in ministry of finance</w:t>
            </w:r>
          </w:p>
        </w:tc>
        <w:tc>
          <w:tcPr>
            <w:tcW w:w="156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800,000.00</w:t>
            </w:r>
          </w:p>
        </w:tc>
        <w:tc>
          <w:tcPr>
            <w:tcW w:w="147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764"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nil"/>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800,000.00</w:t>
            </w:r>
          </w:p>
        </w:tc>
      </w:tr>
      <w:tr w:rsidR="000B609E">
        <w:trPr>
          <w:trHeight w:hRule="exact" w:val="743"/>
          <w:tblHead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proofErr w:type="spellStart"/>
            <w:r>
              <w:rPr>
                <w:rFonts w:ascii="Times New Roman" w:hAnsi="Times New Roman" w:cs="Times New Roman" w:hint="eastAsia"/>
                <w:snapToGrid w:val="0"/>
                <w:kern w:val="0"/>
                <w:sz w:val="18"/>
                <w:szCs w:val="18"/>
                <w:lang w:val="en-GB"/>
              </w:rPr>
              <w:lastRenderedPageBreak/>
              <w:t>Z</w:t>
            </w:r>
            <w:r>
              <w:rPr>
                <w:rFonts w:ascii="Times New Roman" w:hAnsi="Times New Roman" w:cs="Times New Roman"/>
                <w:snapToGrid w:val="0"/>
                <w:kern w:val="0"/>
                <w:sz w:val="18"/>
                <w:szCs w:val="18"/>
                <w:lang w:val="en-GB"/>
              </w:rPr>
              <w:t>hongtian</w:t>
            </w:r>
            <w:proofErr w:type="spellEnd"/>
            <w:r>
              <w:rPr>
                <w:rFonts w:ascii="Times New Roman" w:hAnsi="Times New Roman" w:cs="Times New Roman"/>
                <w:snapToGrid w:val="0"/>
                <w:kern w:val="0"/>
                <w:sz w:val="18"/>
                <w:szCs w:val="18"/>
                <w:lang w:val="en-GB"/>
              </w:rPr>
              <w:t xml:space="preserve"> </w:t>
            </w:r>
            <w:proofErr w:type="spellStart"/>
            <w:r>
              <w:rPr>
                <w:rFonts w:ascii="Times New Roman" w:hAnsi="Times New Roman" w:cs="Times New Roman"/>
                <w:snapToGrid w:val="0"/>
                <w:kern w:val="0"/>
                <w:sz w:val="18"/>
                <w:szCs w:val="18"/>
                <w:lang w:val="en-GB"/>
              </w:rPr>
              <w:t>Qinghuayuan</w:t>
            </w:r>
            <w:proofErr w:type="spellEnd"/>
            <w:r>
              <w:rPr>
                <w:rFonts w:ascii="Times New Roman" w:hAnsi="Times New Roman" w:cs="Times New Roman"/>
                <w:snapToGrid w:val="0"/>
                <w:kern w:val="0"/>
                <w:sz w:val="18"/>
                <w:szCs w:val="18"/>
                <w:lang w:val="en-GB"/>
              </w:rPr>
              <w:t xml:space="preserve"> real estate</w:t>
            </w:r>
          </w:p>
        </w:tc>
        <w:tc>
          <w:tcPr>
            <w:tcW w:w="156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8,270,085.50</w:t>
            </w:r>
          </w:p>
        </w:tc>
        <w:tc>
          <w:tcPr>
            <w:tcW w:w="147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79,500.00</w:t>
            </w:r>
          </w:p>
        </w:tc>
        <w:tc>
          <w:tcPr>
            <w:tcW w:w="1764"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nil"/>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8,349,585.50</w:t>
            </w:r>
          </w:p>
        </w:tc>
      </w:tr>
      <w:tr w:rsidR="000B609E">
        <w:trPr>
          <w:trHeight w:hRule="exact" w:val="454"/>
          <w:tblHead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proofErr w:type="spellStart"/>
            <w:r>
              <w:rPr>
                <w:rFonts w:ascii="Times New Roman" w:hAnsi="Times New Roman" w:cs="Times New Roman" w:hint="eastAsia"/>
                <w:snapToGrid w:val="0"/>
                <w:kern w:val="0"/>
                <w:sz w:val="18"/>
                <w:szCs w:val="18"/>
                <w:lang w:val="en-GB"/>
              </w:rPr>
              <w:t>F</w:t>
            </w:r>
            <w:r>
              <w:rPr>
                <w:rFonts w:ascii="Times New Roman" w:hAnsi="Times New Roman" w:cs="Times New Roman"/>
                <w:snapToGrid w:val="0"/>
                <w:kern w:val="0"/>
                <w:sz w:val="18"/>
                <w:szCs w:val="18"/>
                <w:lang w:val="en-GB"/>
              </w:rPr>
              <w:t>urong</w:t>
            </w:r>
            <w:proofErr w:type="spellEnd"/>
            <w:r>
              <w:rPr>
                <w:rFonts w:ascii="Times New Roman" w:hAnsi="Times New Roman" w:cs="Times New Roman"/>
                <w:snapToGrid w:val="0"/>
                <w:kern w:val="0"/>
                <w:sz w:val="18"/>
                <w:szCs w:val="18"/>
                <w:lang w:val="en-GB"/>
              </w:rPr>
              <w:t xml:space="preserve"> designing fee</w:t>
            </w:r>
          </w:p>
        </w:tc>
        <w:tc>
          <w:tcPr>
            <w:tcW w:w="156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1,505,082.93</w:t>
            </w:r>
          </w:p>
        </w:tc>
        <w:tc>
          <w:tcPr>
            <w:tcW w:w="147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764"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1,505,082.93</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nil"/>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r>
      <w:tr w:rsidR="000B609E" w:rsidTr="00402409">
        <w:trPr>
          <w:trHeight w:hRule="exact" w:val="454"/>
          <w:tblHeader/>
        </w:trPr>
        <w:tc>
          <w:tcPr>
            <w:tcW w:w="2244" w:type="dxa"/>
            <w:tcBorders>
              <w:top w:val="nil"/>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proofErr w:type="spellStart"/>
            <w:r>
              <w:rPr>
                <w:rFonts w:ascii="Times New Roman" w:hAnsi="Times New Roman" w:cs="Times New Roman" w:hint="eastAsia"/>
                <w:snapToGrid w:val="0"/>
                <w:kern w:val="0"/>
                <w:sz w:val="18"/>
                <w:szCs w:val="18"/>
              </w:rPr>
              <w:t>Dasi</w:t>
            </w:r>
            <w:proofErr w:type="spellEnd"/>
            <w:r>
              <w:rPr>
                <w:rFonts w:ascii="Times New Roman" w:hAnsi="Times New Roman" w:cs="Times New Roman" w:hint="eastAsia"/>
                <w:snapToGrid w:val="0"/>
                <w:kern w:val="0"/>
                <w:sz w:val="18"/>
                <w:szCs w:val="18"/>
              </w:rPr>
              <w:t xml:space="preserve"> Banking </w:t>
            </w:r>
            <w:proofErr w:type="spellStart"/>
            <w:r>
              <w:rPr>
                <w:rFonts w:ascii="Times New Roman" w:hAnsi="Times New Roman" w:cs="Times New Roman" w:hint="eastAsia"/>
                <w:snapToGrid w:val="0"/>
                <w:kern w:val="0"/>
                <w:sz w:val="18"/>
                <w:szCs w:val="18"/>
              </w:rPr>
              <w:t>netwok</w:t>
            </w:r>
            <w:proofErr w:type="spellEnd"/>
          </w:p>
        </w:tc>
        <w:tc>
          <w:tcPr>
            <w:tcW w:w="1560"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9,278,520.00</w:t>
            </w:r>
          </w:p>
        </w:tc>
        <w:tc>
          <w:tcPr>
            <w:tcW w:w="1476"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2,389,383.04</w:t>
            </w:r>
          </w:p>
        </w:tc>
        <w:tc>
          <w:tcPr>
            <w:tcW w:w="1764"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nil"/>
              <w:left w:val="single" w:sz="4" w:space="0" w:color="auto"/>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11,667,903.04</w:t>
            </w:r>
          </w:p>
        </w:tc>
      </w:tr>
      <w:tr w:rsidR="000B609E">
        <w:trPr>
          <w:trHeight w:hRule="exact" w:val="620"/>
          <w:tblHead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r>
              <w:rPr>
                <w:rFonts w:ascii="Times New Roman" w:hAnsi="Times New Roman" w:cs="Times New Roman" w:hint="eastAsia"/>
                <w:snapToGrid w:val="0"/>
                <w:kern w:val="0"/>
                <w:sz w:val="18"/>
                <w:szCs w:val="18"/>
              </w:rPr>
              <w:t xml:space="preserve">Small loans </w:t>
            </w:r>
            <w:proofErr w:type="gramStart"/>
            <w:r>
              <w:rPr>
                <w:rFonts w:ascii="Times New Roman" w:hAnsi="Times New Roman" w:cs="Times New Roman" w:hint="eastAsia"/>
                <w:snapToGrid w:val="0"/>
                <w:kern w:val="0"/>
                <w:sz w:val="18"/>
                <w:szCs w:val="18"/>
                <w:lang w:val="en-GB"/>
              </w:rPr>
              <w:t>’</w:t>
            </w:r>
            <w:proofErr w:type="gramEnd"/>
            <w:r>
              <w:rPr>
                <w:rFonts w:ascii="Times New Roman" w:hAnsi="Times New Roman" w:cs="Times New Roman" w:hint="eastAsia"/>
                <w:snapToGrid w:val="0"/>
                <w:kern w:val="0"/>
                <w:sz w:val="18"/>
                <w:szCs w:val="18"/>
                <w:lang w:val="en-GB"/>
              </w:rPr>
              <w:t xml:space="preserve">s </w:t>
            </w:r>
            <w:r>
              <w:rPr>
                <w:rFonts w:ascii="Times New Roman" w:hAnsi="Times New Roman" w:cs="Times New Roman" w:hint="eastAsia"/>
                <w:snapToGrid w:val="0"/>
                <w:kern w:val="0"/>
                <w:sz w:val="18"/>
                <w:szCs w:val="18"/>
              </w:rPr>
              <w:t>decoration project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5,564,076.93</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4,025,809.32</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single" w:sz="4" w:space="0" w:color="auto"/>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9,589,886.25</w:t>
            </w:r>
          </w:p>
        </w:tc>
      </w:tr>
      <w:tr w:rsidR="000B609E" w:rsidTr="00402409">
        <w:trPr>
          <w:trHeight w:hRule="exact" w:val="747"/>
          <w:tblHead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rPr>
            </w:pPr>
            <w:proofErr w:type="spellStart"/>
            <w:r>
              <w:rPr>
                <w:rFonts w:ascii="Times New Roman" w:eastAsia="宋体" w:hAnsi="Times New Roman" w:cs="Times New Roman" w:hint="eastAsia"/>
                <w:bCs/>
                <w:iCs/>
                <w:snapToGrid w:val="0"/>
                <w:kern w:val="0"/>
                <w:sz w:val="18"/>
                <w:szCs w:val="18"/>
              </w:rPr>
              <w:t>Taida</w:t>
            </w:r>
            <w:proofErr w:type="spellEnd"/>
            <w:r>
              <w:rPr>
                <w:rFonts w:ascii="Times New Roman" w:eastAsia="宋体" w:hAnsi="Times New Roman" w:cs="Times New Roman" w:hint="eastAsia"/>
                <w:bCs/>
                <w:iCs/>
                <w:snapToGrid w:val="0"/>
                <w:kern w:val="0"/>
                <w:sz w:val="18"/>
                <w:szCs w:val="18"/>
              </w:rPr>
              <w:t xml:space="preserve"> </w:t>
            </w:r>
            <w:proofErr w:type="spellStart"/>
            <w:r>
              <w:rPr>
                <w:rFonts w:ascii="Times New Roman" w:eastAsia="宋体" w:hAnsi="Times New Roman" w:cs="Times New Roman" w:hint="eastAsia"/>
                <w:bCs/>
                <w:iCs/>
                <w:snapToGrid w:val="0"/>
                <w:kern w:val="0"/>
                <w:sz w:val="18"/>
                <w:szCs w:val="18"/>
              </w:rPr>
              <w:t>Xinhewan</w:t>
            </w:r>
            <w:proofErr w:type="spellEnd"/>
            <w:r>
              <w:rPr>
                <w:rFonts w:ascii="Times New Roman" w:eastAsia="宋体" w:hAnsi="Times New Roman" w:cs="Times New Roman" w:hint="eastAsia"/>
                <w:bCs/>
                <w:iCs/>
                <w:snapToGrid w:val="0"/>
                <w:kern w:val="0"/>
                <w:sz w:val="18"/>
                <w:szCs w:val="18"/>
              </w:rPr>
              <w:t xml:space="preserve"> branch</w:t>
            </w:r>
            <w:r>
              <w:rPr>
                <w:rFonts w:ascii="Times New Roman" w:eastAsia="宋体" w:hAnsi="Times New Roman" w:cs="Times New Roman"/>
                <w:bCs/>
                <w:iCs/>
                <w:snapToGrid w:val="0"/>
                <w:kern w:val="0"/>
                <w:sz w:val="18"/>
                <w:szCs w:val="18"/>
              </w:rPr>
              <w:t>’</w:t>
            </w:r>
            <w:r>
              <w:rPr>
                <w:rFonts w:ascii="Times New Roman" w:eastAsia="宋体" w:hAnsi="Times New Roman" w:cs="Times New Roman" w:hint="eastAsia"/>
                <w:bCs/>
                <w:iCs/>
                <w:snapToGrid w:val="0"/>
                <w:kern w:val="0"/>
                <w:sz w:val="18"/>
                <w:szCs w:val="18"/>
              </w:rPr>
              <w:t>s commercial building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1,060,000.00</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single" w:sz="4" w:space="0" w:color="auto"/>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1,060,000.00</w:t>
            </w:r>
          </w:p>
        </w:tc>
      </w:tr>
      <w:tr w:rsidR="000B609E" w:rsidTr="00402409">
        <w:trPr>
          <w:trHeight w:hRule="exact" w:val="667"/>
          <w:tblHead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rPr>
            </w:pPr>
            <w:proofErr w:type="spellStart"/>
            <w:r>
              <w:rPr>
                <w:rFonts w:ascii="Times New Roman" w:eastAsia="宋体" w:hAnsi="Times New Roman" w:cs="Times New Roman" w:hint="eastAsia"/>
                <w:bCs/>
                <w:iCs/>
                <w:snapToGrid w:val="0"/>
                <w:kern w:val="0"/>
                <w:sz w:val="18"/>
                <w:szCs w:val="18"/>
              </w:rPr>
              <w:t>Zhongtian</w:t>
            </w:r>
            <w:proofErr w:type="spellEnd"/>
            <w:r>
              <w:rPr>
                <w:rFonts w:ascii="Times New Roman" w:eastAsia="宋体" w:hAnsi="Times New Roman" w:cs="Times New Roman" w:hint="eastAsia"/>
                <w:bCs/>
                <w:iCs/>
                <w:snapToGrid w:val="0"/>
                <w:kern w:val="0"/>
                <w:sz w:val="18"/>
                <w:szCs w:val="18"/>
              </w:rPr>
              <w:t xml:space="preserve"> </w:t>
            </w:r>
            <w:proofErr w:type="spellStart"/>
            <w:r>
              <w:rPr>
                <w:rFonts w:ascii="Times New Roman" w:eastAsia="宋体" w:hAnsi="Times New Roman" w:cs="Times New Roman" w:hint="eastAsia"/>
                <w:bCs/>
                <w:iCs/>
                <w:snapToGrid w:val="0"/>
                <w:kern w:val="0"/>
                <w:sz w:val="18"/>
                <w:szCs w:val="18"/>
              </w:rPr>
              <w:t>Xincun</w:t>
            </w:r>
            <w:proofErr w:type="spellEnd"/>
            <w:r>
              <w:rPr>
                <w:rFonts w:ascii="Times New Roman" w:eastAsia="宋体" w:hAnsi="Times New Roman" w:cs="Times New Roman" w:hint="eastAsia"/>
                <w:bCs/>
                <w:iCs/>
                <w:snapToGrid w:val="0"/>
                <w:kern w:val="0"/>
                <w:sz w:val="18"/>
                <w:szCs w:val="18"/>
              </w:rPr>
              <w:t xml:space="preserve"> branch</w:t>
            </w:r>
            <w:r>
              <w:rPr>
                <w:rFonts w:ascii="Times New Roman" w:eastAsia="宋体" w:hAnsi="Times New Roman" w:cs="Times New Roman"/>
                <w:bCs/>
                <w:iCs/>
                <w:snapToGrid w:val="0"/>
                <w:kern w:val="0"/>
                <w:sz w:val="18"/>
                <w:szCs w:val="18"/>
              </w:rPr>
              <w:t>’</w:t>
            </w:r>
            <w:r>
              <w:rPr>
                <w:rFonts w:ascii="Times New Roman" w:eastAsia="宋体" w:hAnsi="Times New Roman" w:cs="Times New Roman" w:hint="eastAsia"/>
                <w:bCs/>
                <w:iCs/>
                <w:snapToGrid w:val="0"/>
                <w:kern w:val="0"/>
                <w:sz w:val="18"/>
                <w:szCs w:val="18"/>
              </w:rPr>
              <w:t>s real estate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1,550,400.52</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single" w:sz="4" w:space="0" w:color="auto"/>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1,550,400.52</w:t>
            </w:r>
          </w:p>
        </w:tc>
      </w:tr>
      <w:tr w:rsidR="000B609E">
        <w:trPr>
          <w:trHeight w:hRule="exact" w:val="612"/>
          <w:tblHead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rPr>
            </w:pPr>
            <w:proofErr w:type="spellStart"/>
            <w:r>
              <w:rPr>
                <w:rFonts w:ascii="Times New Roman" w:eastAsia="宋体" w:hAnsi="Times New Roman" w:cs="Times New Roman" w:hint="eastAsia"/>
                <w:bCs/>
                <w:iCs/>
                <w:snapToGrid w:val="0"/>
                <w:kern w:val="0"/>
                <w:sz w:val="18"/>
                <w:szCs w:val="18"/>
              </w:rPr>
              <w:t>Dongdajie</w:t>
            </w:r>
            <w:proofErr w:type="spellEnd"/>
            <w:r>
              <w:rPr>
                <w:rFonts w:ascii="Times New Roman" w:eastAsia="宋体" w:hAnsi="Times New Roman" w:cs="Times New Roman" w:hint="eastAsia"/>
                <w:bCs/>
                <w:iCs/>
                <w:snapToGrid w:val="0"/>
                <w:kern w:val="0"/>
                <w:sz w:val="18"/>
                <w:szCs w:val="18"/>
              </w:rPr>
              <w:t xml:space="preserve"> branch</w:t>
            </w:r>
            <w:r>
              <w:rPr>
                <w:rFonts w:ascii="Times New Roman" w:eastAsia="宋体" w:hAnsi="Times New Roman" w:cs="Times New Roman"/>
                <w:bCs/>
                <w:iCs/>
                <w:snapToGrid w:val="0"/>
                <w:kern w:val="0"/>
                <w:sz w:val="18"/>
                <w:szCs w:val="18"/>
              </w:rPr>
              <w:t>’</w:t>
            </w:r>
            <w:r>
              <w:rPr>
                <w:rFonts w:ascii="Times New Roman" w:eastAsia="宋体" w:hAnsi="Times New Roman" w:cs="Times New Roman" w:hint="eastAsia"/>
                <w:bCs/>
                <w:iCs/>
                <w:snapToGrid w:val="0"/>
                <w:kern w:val="0"/>
                <w:sz w:val="18"/>
                <w:szCs w:val="18"/>
              </w:rPr>
              <w:t>s real estate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22,687,917.78</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497,284.52</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23,185,202.30</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single" w:sz="4" w:space="0" w:color="auto"/>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r>
      <w:tr w:rsidR="000B609E" w:rsidTr="00402409">
        <w:trPr>
          <w:trHeight w:hRule="exact" w:val="454"/>
          <w:tblHeader/>
        </w:trPr>
        <w:tc>
          <w:tcPr>
            <w:tcW w:w="2244" w:type="dxa"/>
            <w:tcBorders>
              <w:top w:val="single" w:sz="4" w:space="0" w:color="auto"/>
              <w:left w:val="nil"/>
              <w:bottom w:val="double" w:sz="4" w:space="0" w:color="auto"/>
              <w:right w:val="single" w:sz="4" w:space="0" w:color="auto"/>
            </w:tcBorders>
            <w:vAlign w:val="center"/>
          </w:tcPr>
          <w:p w:rsidR="000B609E" w:rsidRDefault="00B220E1">
            <w:pPr>
              <w:autoSpaceDE w:val="0"/>
              <w:autoSpaceDN w:val="0"/>
              <w:spacing w:afterLines="0" w:after="0"/>
              <w:ind w:firstLineChars="0" w:firstLine="0"/>
              <w:jc w:val="center"/>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Total</w:t>
            </w:r>
          </w:p>
        </w:tc>
        <w:tc>
          <w:tcPr>
            <w:tcW w:w="1560" w:type="dxa"/>
            <w:tcBorders>
              <w:top w:val="single" w:sz="4" w:space="0" w:color="auto"/>
              <w:left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color w:val="000000"/>
                <w:sz w:val="18"/>
                <w:szCs w:val="18"/>
              </w:rPr>
              <w:t>103,109,814.72</w:t>
            </w:r>
          </w:p>
        </w:tc>
        <w:tc>
          <w:tcPr>
            <w:tcW w:w="1476" w:type="dxa"/>
            <w:tcBorders>
              <w:top w:val="single" w:sz="4" w:space="0" w:color="auto"/>
              <w:left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color w:val="000000"/>
                <w:sz w:val="18"/>
                <w:szCs w:val="18"/>
              </w:rPr>
              <w:t>9,676,117.40</w:t>
            </w:r>
          </w:p>
        </w:tc>
        <w:tc>
          <w:tcPr>
            <w:tcW w:w="1764" w:type="dxa"/>
            <w:tcBorders>
              <w:top w:val="single" w:sz="4" w:space="0" w:color="auto"/>
              <w:left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color w:val="000000"/>
                <w:sz w:val="18"/>
                <w:szCs w:val="18"/>
              </w:rPr>
              <w:t>24,690,285.23</w:t>
            </w:r>
          </w:p>
        </w:tc>
        <w:tc>
          <w:tcPr>
            <w:tcW w:w="1356" w:type="dxa"/>
            <w:tcBorders>
              <w:top w:val="single" w:sz="4" w:space="0" w:color="auto"/>
              <w:left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color w:val="000000"/>
                <w:sz w:val="18"/>
                <w:szCs w:val="18"/>
              </w:rPr>
              <w:t>-</w:t>
            </w:r>
          </w:p>
        </w:tc>
        <w:tc>
          <w:tcPr>
            <w:tcW w:w="1272" w:type="dxa"/>
            <w:tcBorders>
              <w:top w:val="single" w:sz="4" w:space="0" w:color="auto"/>
              <w:left w:val="single" w:sz="4" w:space="0" w:color="auto"/>
              <w:bottom w:val="doub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color w:val="000000"/>
                <w:sz w:val="18"/>
                <w:szCs w:val="18"/>
              </w:rPr>
              <w:t>88,095,646.89</w:t>
            </w:r>
          </w:p>
        </w:tc>
      </w:tr>
    </w:tbl>
    <w:p w:rsidR="000B609E" w:rsidRDefault="00B220E1">
      <w:pPr>
        <w:pStyle w:val="11"/>
        <w:spacing w:beforeLines="50" w:before="156" w:after="156" w:line="360" w:lineRule="auto"/>
        <w:ind w:leftChars="200" w:left="420" w:firstLineChars="0" w:firstLine="0"/>
        <w:rPr>
          <w:rFonts w:ascii="Times New Roman" w:hAnsi="Times New Roman" w:cs="Times New Roman"/>
          <w:sz w:val="24"/>
          <w:szCs w:val="24"/>
        </w:rPr>
      </w:pPr>
      <w:r>
        <w:rPr>
          <w:rFonts w:ascii="Times New Roman" w:hAnsi="Times New Roman" w:cs="Times New Roman" w:hint="eastAsia"/>
          <w:sz w:val="24"/>
          <w:szCs w:val="24"/>
        </w:rPr>
        <w:t>(2) The Bank:</w:t>
      </w:r>
    </w:p>
    <w:tbl>
      <w:tblPr>
        <w:tblW w:w="9672" w:type="dxa"/>
        <w:jc w:val="center"/>
        <w:tblLayout w:type="fixed"/>
        <w:tblLook w:val="04A0" w:firstRow="1" w:lastRow="0" w:firstColumn="1" w:lastColumn="0" w:noHBand="0" w:noVBand="1"/>
      </w:tblPr>
      <w:tblGrid>
        <w:gridCol w:w="2244"/>
        <w:gridCol w:w="1560"/>
        <w:gridCol w:w="1476"/>
        <w:gridCol w:w="1764"/>
        <w:gridCol w:w="1356"/>
        <w:gridCol w:w="1272"/>
      </w:tblGrid>
      <w:tr w:rsidR="000B609E">
        <w:trPr>
          <w:trHeight w:val="464"/>
          <w:tblHeader/>
          <w:jc w:val="center"/>
        </w:trPr>
        <w:tc>
          <w:tcPr>
            <w:tcW w:w="2244" w:type="dxa"/>
            <w:vMerge w:val="restart"/>
            <w:tcBorders>
              <w:top w:val="double" w:sz="6" w:space="0" w:color="auto"/>
              <w:left w:val="nil"/>
              <w:bottom w:val="single" w:sz="8" w:space="0" w:color="000000"/>
              <w:right w:val="single" w:sz="8" w:space="0" w:color="auto"/>
            </w:tcBorders>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color w:val="000000"/>
                <w:kern w:val="0"/>
                <w:sz w:val="18"/>
                <w:szCs w:val="18"/>
              </w:rPr>
              <w:t>Items</w:t>
            </w:r>
          </w:p>
        </w:tc>
        <w:tc>
          <w:tcPr>
            <w:tcW w:w="7428" w:type="dxa"/>
            <w:gridSpan w:val="5"/>
            <w:tcBorders>
              <w:top w:val="double" w:sz="6" w:space="0" w:color="auto"/>
              <w:left w:val="nil"/>
              <w:bottom w:val="single" w:sz="8" w:space="0" w:color="auto"/>
              <w:right w:val="nil"/>
            </w:tcBorders>
            <w:shd w:val="clear" w:color="auto" w:fill="auto"/>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bCs/>
                <w:color w:val="000000"/>
                <w:kern w:val="0"/>
                <w:sz w:val="18"/>
                <w:szCs w:val="18"/>
              </w:rPr>
              <w:t>Group</w:t>
            </w:r>
          </w:p>
        </w:tc>
      </w:tr>
      <w:tr w:rsidR="000B609E">
        <w:trPr>
          <w:trHeight w:val="361"/>
          <w:tblHeader/>
          <w:jc w:val="center"/>
        </w:trPr>
        <w:tc>
          <w:tcPr>
            <w:tcW w:w="2244" w:type="dxa"/>
            <w:vMerge/>
            <w:tcBorders>
              <w:top w:val="double" w:sz="6" w:space="0" w:color="auto"/>
              <w:left w:val="nil"/>
              <w:bottom w:val="single" w:sz="8" w:space="0" w:color="000000"/>
              <w:right w:val="single" w:sz="8" w:space="0" w:color="auto"/>
            </w:tcBorders>
            <w:vAlign w:val="center"/>
          </w:tcPr>
          <w:p w:rsidR="000B609E" w:rsidRDefault="000B609E">
            <w:pPr>
              <w:spacing w:afterLines="0" w:after="0"/>
              <w:ind w:firstLine="422"/>
              <w:jc w:val="center"/>
              <w:rPr>
                <w:rFonts w:ascii="宋体" w:hAnsi="宋体" w:cs="宋体"/>
                <w:b/>
                <w:bCs/>
                <w:color w:val="000000"/>
              </w:rPr>
            </w:pPr>
          </w:p>
        </w:tc>
        <w:tc>
          <w:tcPr>
            <w:tcW w:w="7428" w:type="dxa"/>
            <w:gridSpan w:val="5"/>
            <w:tcBorders>
              <w:top w:val="single" w:sz="8" w:space="0" w:color="auto"/>
              <w:left w:val="nil"/>
              <w:bottom w:val="single" w:sz="8" w:space="0" w:color="auto"/>
              <w:right w:val="nil"/>
            </w:tcBorders>
            <w:shd w:val="clear" w:color="auto" w:fill="auto"/>
            <w:vAlign w:val="center"/>
          </w:tcPr>
          <w:p w:rsidR="000B609E" w:rsidRDefault="00B220E1">
            <w:pPr>
              <w:spacing w:afterLines="0" w:after="0"/>
              <w:ind w:firstLine="361"/>
              <w:jc w:val="center"/>
              <w:rPr>
                <w:rFonts w:ascii="Calibri" w:hAnsi="Calibri" w:cs="宋体"/>
                <w:b/>
                <w:bCs/>
                <w:color w:val="000000"/>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val="490"/>
          <w:tblHeader/>
          <w:jc w:val="center"/>
        </w:trPr>
        <w:tc>
          <w:tcPr>
            <w:tcW w:w="2244" w:type="dxa"/>
            <w:vMerge/>
            <w:tcBorders>
              <w:top w:val="double" w:sz="6" w:space="0" w:color="auto"/>
              <w:left w:val="nil"/>
              <w:bottom w:val="single" w:sz="8" w:space="0" w:color="000000"/>
              <w:right w:val="single" w:sz="8" w:space="0" w:color="auto"/>
            </w:tcBorders>
            <w:vAlign w:val="center"/>
          </w:tcPr>
          <w:p w:rsidR="000B609E" w:rsidRDefault="000B609E">
            <w:pPr>
              <w:spacing w:afterLines="0" w:after="0"/>
              <w:ind w:firstLine="422"/>
              <w:jc w:val="center"/>
              <w:rPr>
                <w:rFonts w:ascii="宋体" w:hAnsi="宋体" w:cs="宋体"/>
                <w:b/>
                <w:bCs/>
                <w:color w:val="000000"/>
              </w:rPr>
            </w:pPr>
          </w:p>
        </w:tc>
        <w:tc>
          <w:tcPr>
            <w:tcW w:w="1560" w:type="dxa"/>
            <w:tcBorders>
              <w:top w:val="nil"/>
              <w:left w:val="nil"/>
              <w:bottom w:val="single" w:sz="8" w:space="0" w:color="auto"/>
              <w:right w:val="single" w:sz="8" w:space="0" w:color="auto"/>
            </w:tcBorders>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bCs/>
                <w:color w:val="000000"/>
                <w:kern w:val="0"/>
                <w:sz w:val="18"/>
                <w:szCs w:val="18"/>
              </w:rPr>
              <w:t>Beginning balance</w:t>
            </w:r>
          </w:p>
        </w:tc>
        <w:tc>
          <w:tcPr>
            <w:tcW w:w="1476" w:type="dxa"/>
            <w:tcBorders>
              <w:top w:val="nil"/>
              <w:left w:val="nil"/>
              <w:bottom w:val="single" w:sz="8" w:space="0" w:color="auto"/>
              <w:right w:val="single" w:sz="8" w:space="0" w:color="auto"/>
            </w:tcBorders>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bCs/>
                <w:color w:val="000000"/>
                <w:kern w:val="0"/>
                <w:sz w:val="18"/>
                <w:szCs w:val="18"/>
              </w:rPr>
              <w:t>Additions</w:t>
            </w:r>
          </w:p>
        </w:tc>
        <w:tc>
          <w:tcPr>
            <w:tcW w:w="1764" w:type="dxa"/>
            <w:tcBorders>
              <w:top w:val="nil"/>
              <w:left w:val="nil"/>
              <w:bottom w:val="single" w:sz="8" w:space="0" w:color="auto"/>
              <w:right w:val="single" w:sz="8" w:space="0" w:color="auto"/>
            </w:tcBorders>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bCs/>
                <w:color w:val="000000"/>
                <w:kern w:val="0"/>
                <w:sz w:val="18"/>
                <w:szCs w:val="18"/>
              </w:rPr>
              <w:t>Transfer out to fixed assets</w:t>
            </w:r>
          </w:p>
        </w:tc>
        <w:tc>
          <w:tcPr>
            <w:tcW w:w="1356" w:type="dxa"/>
            <w:tcBorders>
              <w:top w:val="nil"/>
              <w:left w:val="nil"/>
              <w:bottom w:val="single" w:sz="8" w:space="0" w:color="auto"/>
              <w:right w:val="single" w:sz="8" w:space="0" w:color="auto"/>
            </w:tcBorders>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bCs/>
                <w:color w:val="000000"/>
                <w:kern w:val="0"/>
                <w:sz w:val="18"/>
                <w:szCs w:val="18"/>
              </w:rPr>
              <w:t>Other decrease</w:t>
            </w:r>
          </w:p>
        </w:tc>
        <w:tc>
          <w:tcPr>
            <w:tcW w:w="1272" w:type="dxa"/>
            <w:tcBorders>
              <w:top w:val="nil"/>
              <w:left w:val="nil"/>
              <w:bottom w:val="single" w:sz="8" w:space="0" w:color="auto"/>
              <w:right w:val="nil"/>
            </w:tcBorders>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bCs/>
                <w:color w:val="000000"/>
                <w:kern w:val="0"/>
                <w:sz w:val="18"/>
                <w:szCs w:val="18"/>
              </w:rPr>
              <w:t>Ending balance</w:t>
            </w:r>
          </w:p>
        </w:tc>
      </w:tr>
      <w:tr w:rsidR="000B609E">
        <w:trPr>
          <w:trHeight w:hRule="exact" w:val="454"/>
          <w:jc w:val="cent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r>
              <w:rPr>
                <w:rFonts w:ascii="Times New Roman" w:hAnsi="Times New Roman" w:cs="Times New Roman" w:hint="eastAsia"/>
                <w:snapToGrid w:val="0"/>
                <w:kern w:val="0"/>
                <w:sz w:val="18"/>
                <w:szCs w:val="18"/>
                <w:lang w:val="en-GB"/>
              </w:rPr>
              <w:t>C</w:t>
            </w:r>
            <w:r>
              <w:rPr>
                <w:rFonts w:ascii="Times New Roman" w:hAnsi="Times New Roman" w:cs="Times New Roman"/>
                <w:snapToGrid w:val="0"/>
                <w:kern w:val="0"/>
                <w:sz w:val="18"/>
                <w:szCs w:val="18"/>
                <w:lang w:val="en-GB"/>
              </w:rPr>
              <w:t>itizen cards project</w:t>
            </w:r>
          </w:p>
        </w:tc>
        <w:tc>
          <w:tcPr>
            <w:tcW w:w="156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37,168,171.02</w:t>
            </w:r>
          </w:p>
        </w:tc>
        <w:tc>
          <w:tcPr>
            <w:tcW w:w="147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764"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nil"/>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37,168,171.02</w:t>
            </w:r>
          </w:p>
        </w:tc>
      </w:tr>
      <w:tr w:rsidR="000B609E">
        <w:trPr>
          <w:trHeight w:hRule="exact" w:val="1361"/>
          <w:jc w:val="cent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proofErr w:type="spellStart"/>
            <w:r>
              <w:rPr>
                <w:rFonts w:ascii="Times New Roman" w:hAnsi="Times New Roman" w:cs="Times New Roman"/>
                <w:snapToGrid w:val="0"/>
                <w:kern w:val="0"/>
                <w:sz w:val="18"/>
                <w:szCs w:val="18"/>
                <w:lang w:val="en-GB"/>
              </w:rPr>
              <w:t>Jiangyan</w:t>
            </w:r>
            <w:proofErr w:type="spellEnd"/>
            <w:r>
              <w:rPr>
                <w:rFonts w:ascii="Times New Roman" w:hAnsi="Times New Roman" w:cs="Times New Roman"/>
                <w:snapToGrid w:val="0"/>
                <w:kern w:val="0"/>
                <w:sz w:val="18"/>
                <w:szCs w:val="18"/>
                <w:lang w:val="en-GB"/>
              </w:rPr>
              <w:t xml:space="preserve"> </w:t>
            </w:r>
            <w:proofErr w:type="spellStart"/>
            <w:r>
              <w:rPr>
                <w:rFonts w:ascii="Times New Roman" w:hAnsi="Times New Roman" w:cs="Times New Roman"/>
                <w:snapToGrid w:val="0"/>
                <w:kern w:val="0"/>
                <w:sz w:val="18"/>
                <w:szCs w:val="18"/>
                <w:lang w:val="en-GB"/>
              </w:rPr>
              <w:t>Runjing</w:t>
            </w:r>
            <w:proofErr w:type="spellEnd"/>
            <w:r>
              <w:rPr>
                <w:rFonts w:ascii="Times New Roman" w:hAnsi="Times New Roman" w:cs="Times New Roman"/>
                <w:snapToGrid w:val="0"/>
                <w:kern w:val="0"/>
                <w:sz w:val="18"/>
                <w:szCs w:val="18"/>
                <w:lang w:val="en-GB"/>
              </w:rPr>
              <w:t xml:space="preserve"> international Garden real estate</w:t>
            </w:r>
          </w:p>
        </w:tc>
        <w:tc>
          <w:tcPr>
            <w:tcW w:w="156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17,835,960.56</w:t>
            </w:r>
          </w:p>
        </w:tc>
        <w:tc>
          <w:tcPr>
            <w:tcW w:w="147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73,740.00</w:t>
            </w:r>
          </w:p>
        </w:tc>
        <w:tc>
          <w:tcPr>
            <w:tcW w:w="1764"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nil"/>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17,909,700.56</w:t>
            </w:r>
          </w:p>
        </w:tc>
      </w:tr>
      <w:tr w:rsidR="000B609E">
        <w:trPr>
          <w:trHeight w:hRule="exact" w:val="1361"/>
          <w:jc w:val="cent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r>
              <w:rPr>
                <w:rFonts w:ascii="Times New Roman" w:hAnsi="Times New Roman" w:cs="Times New Roman"/>
                <w:snapToGrid w:val="0"/>
                <w:kern w:val="0"/>
                <w:sz w:val="18"/>
                <w:szCs w:val="18"/>
                <w:lang w:val="en-GB"/>
              </w:rPr>
              <w:t>Software for management accountants in ministry of finance</w:t>
            </w:r>
          </w:p>
        </w:tc>
        <w:tc>
          <w:tcPr>
            <w:tcW w:w="156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800,000.00</w:t>
            </w:r>
          </w:p>
        </w:tc>
        <w:tc>
          <w:tcPr>
            <w:tcW w:w="147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764"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nil"/>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800,000.00</w:t>
            </w:r>
          </w:p>
        </w:tc>
      </w:tr>
      <w:tr w:rsidR="000B609E">
        <w:trPr>
          <w:trHeight w:hRule="exact" w:val="907"/>
          <w:jc w:val="cent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proofErr w:type="spellStart"/>
            <w:r>
              <w:rPr>
                <w:rFonts w:ascii="Times New Roman" w:hAnsi="Times New Roman" w:cs="Times New Roman" w:hint="eastAsia"/>
                <w:snapToGrid w:val="0"/>
                <w:kern w:val="0"/>
                <w:sz w:val="18"/>
                <w:szCs w:val="18"/>
                <w:lang w:val="en-GB"/>
              </w:rPr>
              <w:t>Z</w:t>
            </w:r>
            <w:r>
              <w:rPr>
                <w:rFonts w:ascii="Times New Roman" w:hAnsi="Times New Roman" w:cs="Times New Roman"/>
                <w:snapToGrid w:val="0"/>
                <w:kern w:val="0"/>
                <w:sz w:val="18"/>
                <w:szCs w:val="18"/>
                <w:lang w:val="en-GB"/>
              </w:rPr>
              <w:t>hongtian</w:t>
            </w:r>
            <w:proofErr w:type="spellEnd"/>
            <w:r>
              <w:rPr>
                <w:rFonts w:ascii="Times New Roman" w:hAnsi="Times New Roman" w:cs="Times New Roman"/>
                <w:snapToGrid w:val="0"/>
                <w:kern w:val="0"/>
                <w:sz w:val="18"/>
                <w:szCs w:val="18"/>
                <w:lang w:val="en-GB"/>
              </w:rPr>
              <w:t xml:space="preserve"> </w:t>
            </w:r>
            <w:proofErr w:type="spellStart"/>
            <w:r>
              <w:rPr>
                <w:rFonts w:ascii="Times New Roman" w:hAnsi="Times New Roman" w:cs="Times New Roman"/>
                <w:snapToGrid w:val="0"/>
                <w:kern w:val="0"/>
                <w:sz w:val="18"/>
                <w:szCs w:val="18"/>
                <w:lang w:val="en-GB"/>
              </w:rPr>
              <w:t>Qinghuayuan</w:t>
            </w:r>
            <w:proofErr w:type="spellEnd"/>
            <w:r>
              <w:rPr>
                <w:rFonts w:ascii="Times New Roman" w:hAnsi="Times New Roman" w:cs="Times New Roman"/>
                <w:snapToGrid w:val="0"/>
                <w:kern w:val="0"/>
                <w:sz w:val="18"/>
                <w:szCs w:val="18"/>
                <w:lang w:val="en-GB"/>
              </w:rPr>
              <w:t xml:space="preserve"> real estate</w:t>
            </w:r>
          </w:p>
        </w:tc>
        <w:tc>
          <w:tcPr>
            <w:tcW w:w="156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8,270,085.50</w:t>
            </w:r>
          </w:p>
        </w:tc>
        <w:tc>
          <w:tcPr>
            <w:tcW w:w="147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79,500.00</w:t>
            </w:r>
          </w:p>
        </w:tc>
        <w:tc>
          <w:tcPr>
            <w:tcW w:w="1764"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nil"/>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8,349,585.50</w:t>
            </w:r>
          </w:p>
        </w:tc>
      </w:tr>
      <w:tr w:rsidR="000B609E">
        <w:trPr>
          <w:trHeight w:hRule="exact" w:val="454"/>
          <w:jc w:val="cent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proofErr w:type="spellStart"/>
            <w:r>
              <w:rPr>
                <w:rFonts w:ascii="Times New Roman" w:hAnsi="Times New Roman" w:cs="Times New Roman" w:hint="eastAsia"/>
                <w:snapToGrid w:val="0"/>
                <w:kern w:val="0"/>
                <w:sz w:val="18"/>
                <w:szCs w:val="18"/>
                <w:lang w:val="en-GB"/>
              </w:rPr>
              <w:t>F</w:t>
            </w:r>
            <w:r>
              <w:rPr>
                <w:rFonts w:ascii="Times New Roman" w:hAnsi="Times New Roman" w:cs="Times New Roman"/>
                <w:snapToGrid w:val="0"/>
                <w:kern w:val="0"/>
                <w:sz w:val="18"/>
                <w:szCs w:val="18"/>
                <w:lang w:val="en-GB"/>
              </w:rPr>
              <w:t>urong</w:t>
            </w:r>
            <w:proofErr w:type="spellEnd"/>
            <w:r>
              <w:rPr>
                <w:rFonts w:ascii="Times New Roman" w:hAnsi="Times New Roman" w:cs="Times New Roman"/>
                <w:snapToGrid w:val="0"/>
                <w:kern w:val="0"/>
                <w:sz w:val="18"/>
                <w:szCs w:val="18"/>
                <w:lang w:val="en-GB"/>
              </w:rPr>
              <w:t xml:space="preserve"> designing fee</w:t>
            </w:r>
          </w:p>
        </w:tc>
        <w:tc>
          <w:tcPr>
            <w:tcW w:w="156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1,505,082.93</w:t>
            </w:r>
          </w:p>
        </w:tc>
        <w:tc>
          <w:tcPr>
            <w:tcW w:w="147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764"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1,505,082.93</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nil"/>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r>
      <w:tr w:rsidR="000B609E">
        <w:trPr>
          <w:trHeight w:hRule="exact" w:val="454"/>
          <w:jc w:val="center"/>
        </w:trPr>
        <w:tc>
          <w:tcPr>
            <w:tcW w:w="2244" w:type="dxa"/>
            <w:tcBorders>
              <w:top w:val="nil"/>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proofErr w:type="spellStart"/>
            <w:r>
              <w:rPr>
                <w:rFonts w:ascii="Times New Roman" w:hAnsi="Times New Roman" w:cs="Times New Roman" w:hint="eastAsia"/>
                <w:snapToGrid w:val="0"/>
                <w:kern w:val="0"/>
                <w:sz w:val="18"/>
                <w:szCs w:val="18"/>
              </w:rPr>
              <w:t>Dasi</w:t>
            </w:r>
            <w:proofErr w:type="spellEnd"/>
            <w:r>
              <w:rPr>
                <w:rFonts w:ascii="Times New Roman" w:hAnsi="Times New Roman" w:cs="Times New Roman" w:hint="eastAsia"/>
                <w:snapToGrid w:val="0"/>
                <w:kern w:val="0"/>
                <w:sz w:val="18"/>
                <w:szCs w:val="18"/>
              </w:rPr>
              <w:t xml:space="preserve"> Banking </w:t>
            </w:r>
            <w:proofErr w:type="spellStart"/>
            <w:r>
              <w:rPr>
                <w:rFonts w:ascii="Times New Roman" w:hAnsi="Times New Roman" w:cs="Times New Roman" w:hint="eastAsia"/>
                <w:snapToGrid w:val="0"/>
                <w:kern w:val="0"/>
                <w:sz w:val="18"/>
                <w:szCs w:val="18"/>
              </w:rPr>
              <w:t>netwok</w:t>
            </w:r>
            <w:proofErr w:type="spellEnd"/>
          </w:p>
        </w:tc>
        <w:tc>
          <w:tcPr>
            <w:tcW w:w="1560"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9,278,520.00</w:t>
            </w:r>
          </w:p>
        </w:tc>
        <w:tc>
          <w:tcPr>
            <w:tcW w:w="1476"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2,389,383.04</w:t>
            </w:r>
          </w:p>
        </w:tc>
        <w:tc>
          <w:tcPr>
            <w:tcW w:w="1764"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nil"/>
              <w:left w:val="single" w:sz="4" w:space="0" w:color="auto"/>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11,667,903.04</w:t>
            </w:r>
          </w:p>
        </w:tc>
      </w:tr>
      <w:tr w:rsidR="000B609E">
        <w:trPr>
          <w:trHeight w:hRule="exact" w:val="907"/>
          <w:jc w:val="center"/>
        </w:trPr>
        <w:tc>
          <w:tcPr>
            <w:tcW w:w="2244" w:type="dxa"/>
            <w:tcBorders>
              <w:top w:val="single" w:sz="4" w:space="0" w:color="auto"/>
              <w:left w:val="nil"/>
              <w:bottom w:val="single" w:sz="4" w:space="0" w:color="auto"/>
              <w:right w:val="single" w:sz="4" w:space="0" w:color="auto"/>
            </w:tcBorders>
            <w:vAlign w:val="center"/>
          </w:tcPr>
          <w:p w:rsidR="000B609E" w:rsidRDefault="00B220E1">
            <w:pPr>
              <w:autoSpaceDE w:val="0"/>
              <w:autoSpaceDN w:val="0"/>
              <w:spacing w:afterLines="0" w:after="0"/>
              <w:ind w:firstLineChars="0" w:firstLine="0"/>
              <w:rPr>
                <w:rFonts w:ascii="Arial Narrow" w:hAnsi="Arial Narrow"/>
              </w:rPr>
            </w:pPr>
            <w:r>
              <w:rPr>
                <w:rFonts w:ascii="Times New Roman" w:hAnsi="Times New Roman" w:cs="Times New Roman" w:hint="eastAsia"/>
                <w:snapToGrid w:val="0"/>
                <w:kern w:val="0"/>
                <w:sz w:val="18"/>
                <w:szCs w:val="18"/>
              </w:rPr>
              <w:t xml:space="preserve">Small loans </w:t>
            </w:r>
            <w:proofErr w:type="gramStart"/>
            <w:r>
              <w:rPr>
                <w:rFonts w:ascii="Times New Roman" w:hAnsi="Times New Roman" w:cs="Times New Roman" w:hint="eastAsia"/>
                <w:snapToGrid w:val="0"/>
                <w:kern w:val="0"/>
                <w:sz w:val="18"/>
                <w:szCs w:val="18"/>
                <w:lang w:val="en-GB"/>
              </w:rPr>
              <w:t>’</w:t>
            </w:r>
            <w:proofErr w:type="gramEnd"/>
            <w:r>
              <w:rPr>
                <w:rFonts w:ascii="Times New Roman" w:hAnsi="Times New Roman" w:cs="Times New Roman" w:hint="eastAsia"/>
                <w:snapToGrid w:val="0"/>
                <w:kern w:val="0"/>
                <w:sz w:val="18"/>
                <w:szCs w:val="18"/>
                <w:lang w:val="en-GB"/>
              </w:rPr>
              <w:t xml:space="preserve">s </w:t>
            </w:r>
            <w:r>
              <w:rPr>
                <w:rFonts w:ascii="Times New Roman" w:hAnsi="Times New Roman" w:cs="Times New Roman" w:hint="eastAsia"/>
                <w:snapToGrid w:val="0"/>
                <w:kern w:val="0"/>
                <w:sz w:val="18"/>
                <w:szCs w:val="18"/>
              </w:rPr>
              <w:t>decoration project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3,828,095.77</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4,292,418.62</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single" w:sz="4" w:space="0" w:color="auto"/>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8,120,514.39</w:t>
            </w:r>
          </w:p>
        </w:tc>
      </w:tr>
      <w:tr w:rsidR="000B609E">
        <w:trPr>
          <w:trHeight w:hRule="exact" w:val="939"/>
          <w:jc w:val="center"/>
        </w:trPr>
        <w:tc>
          <w:tcPr>
            <w:tcW w:w="2244" w:type="dxa"/>
            <w:tcBorders>
              <w:top w:val="single" w:sz="4" w:space="0" w:color="auto"/>
              <w:left w:val="nil"/>
              <w:bottom w:val="single" w:sz="4" w:space="0" w:color="auto"/>
              <w:right w:val="single" w:sz="4" w:space="0" w:color="auto"/>
            </w:tcBorders>
            <w:vAlign w:val="center"/>
          </w:tcPr>
          <w:p w:rsidR="000B609E" w:rsidRDefault="00B220E1">
            <w:pPr>
              <w:widowControl w:val="0"/>
              <w:autoSpaceDE w:val="0"/>
              <w:autoSpaceDN w:val="0"/>
              <w:spacing w:before="40" w:after="156" w:line="400" w:lineRule="exact"/>
              <w:ind w:firstLineChars="0" w:firstLine="0"/>
              <w:rPr>
                <w:rFonts w:ascii="Arial Narrow" w:eastAsia="宋体" w:hAnsi="Arial Narrow"/>
                <w:sz w:val="18"/>
                <w:szCs w:val="18"/>
              </w:rPr>
            </w:pPr>
            <w:proofErr w:type="spellStart"/>
            <w:r>
              <w:rPr>
                <w:rFonts w:ascii="Times New Roman" w:eastAsia="宋体" w:hAnsi="Times New Roman" w:cs="Times New Roman" w:hint="eastAsia"/>
                <w:bCs/>
                <w:iCs/>
                <w:snapToGrid w:val="0"/>
                <w:kern w:val="0"/>
                <w:sz w:val="18"/>
                <w:szCs w:val="18"/>
              </w:rPr>
              <w:lastRenderedPageBreak/>
              <w:t>Dongdajie</w:t>
            </w:r>
            <w:proofErr w:type="spellEnd"/>
            <w:r>
              <w:rPr>
                <w:rFonts w:ascii="Times New Roman" w:eastAsia="宋体" w:hAnsi="Times New Roman" w:cs="Times New Roman" w:hint="eastAsia"/>
                <w:bCs/>
                <w:iCs/>
                <w:snapToGrid w:val="0"/>
                <w:kern w:val="0"/>
                <w:sz w:val="18"/>
                <w:szCs w:val="18"/>
              </w:rPr>
              <w:t xml:space="preserve"> branch</w:t>
            </w:r>
            <w:r>
              <w:rPr>
                <w:rFonts w:ascii="Times New Roman" w:eastAsia="宋体" w:hAnsi="Times New Roman" w:cs="Times New Roman"/>
                <w:bCs/>
                <w:iCs/>
                <w:snapToGrid w:val="0"/>
                <w:kern w:val="0"/>
                <w:sz w:val="18"/>
                <w:szCs w:val="18"/>
              </w:rPr>
              <w:t>’</w:t>
            </w:r>
            <w:r>
              <w:rPr>
                <w:rFonts w:ascii="Times New Roman" w:eastAsia="宋体" w:hAnsi="Times New Roman" w:cs="Times New Roman" w:hint="eastAsia"/>
                <w:bCs/>
                <w:iCs/>
                <w:snapToGrid w:val="0"/>
                <w:kern w:val="0"/>
                <w:sz w:val="18"/>
                <w:szCs w:val="18"/>
              </w:rPr>
              <w:t>s real estate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22,687,917.78</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497,284.52</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23,185,202.30</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single" w:sz="4" w:space="0" w:color="auto"/>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r>
      <w:tr w:rsidR="000B609E" w:rsidTr="00402409">
        <w:trPr>
          <w:trHeight w:hRule="exact" w:val="891"/>
          <w:jc w:val="center"/>
        </w:trPr>
        <w:tc>
          <w:tcPr>
            <w:tcW w:w="2244" w:type="dxa"/>
            <w:tcBorders>
              <w:top w:val="single" w:sz="4" w:space="0" w:color="auto"/>
              <w:left w:val="nil"/>
              <w:bottom w:val="single" w:sz="4" w:space="0" w:color="auto"/>
              <w:right w:val="single" w:sz="4" w:space="0" w:color="auto"/>
            </w:tcBorders>
            <w:vAlign w:val="center"/>
          </w:tcPr>
          <w:p w:rsidR="000B609E" w:rsidRDefault="00B220E1">
            <w:pPr>
              <w:widowControl w:val="0"/>
              <w:autoSpaceDE w:val="0"/>
              <w:autoSpaceDN w:val="0"/>
              <w:spacing w:before="40" w:after="156" w:line="400" w:lineRule="exact"/>
              <w:ind w:firstLineChars="0" w:firstLine="0"/>
              <w:rPr>
                <w:rFonts w:ascii="Arial Narrow" w:eastAsia="宋体" w:hAnsi="Arial Narrow"/>
                <w:sz w:val="18"/>
                <w:szCs w:val="18"/>
              </w:rPr>
            </w:pPr>
            <w:proofErr w:type="spellStart"/>
            <w:r>
              <w:rPr>
                <w:rFonts w:ascii="Times New Roman" w:eastAsia="宋体" w:hAnsi="Times New Roman" w:cs="Times New Roman" w:hint="eastAsia"/>
                <w:bCs/>
                <w:iCs/>
                <w:snapToGrid w:val="0"/>
                <w:kern w:val="0"/>
                <w:sz w:val="18"/>
                <w:szCs w:val="18"/>
              </w:rPr>
              <w:t>Zhongtian</w:t>
            </w:r>
            <w:proofErr w:type="spellEnd"/>
            <w:r>
              <w:rPr>
                <w:rFonts w:ascii="Times New Roman" w:eastAsia="宋体" w:hAnsi="Times New Roman" w:cs="Times New Roman" w:hint="eastAsia"/>
                <w:bCs/>
                <w:iCs/>
                <w:snapToGrid w:val="0"/>
                <w:kern w:val="0"/>
                <w:sz w:val="18"/>
                <w:szCs w:val="18"/>
              </w:rPr>
              <w:t xml:space="preserve"> </w:t>
            </w:r>
            <w:proofErr w:type="spellStart"/>
            <w:r>
              <w:rPr>
                <w:rFonts w:ascii="Times New Roman" w:eastAsia="宋体" w:hAnsi="Times New Roman" w:cs="Times New Roman" w:hint="eastAsia"/>
                <w:bCs/>
                <w:iCs/>
                <w:snapToGrid w:val="0"/>
                <w:kern w:val="0"/>
                <w:sz w:val="18"/>
                <w:szCs w:val="18"/>
              </w:rPr>
              <w:t>Xincun</w:t>
            </w:r>
            <w:proofErr w:type="spellEnd"/>
            <w:r>
              <w:rPr>
                <w:rFonts w:ascii="Times New Roman" w:eastAsia="宋体" w:hAnsi="Times New Roman" w:cs="Times New Roman" w:hint="eastAsia"/>
                <w:bCs/>
                <w:iCs/>
                <w:snapToGrid w:val="0"/>
                <w:kern w:val="0"/>
                <w:sz w:val="18"/>
                <w:szCs w:val="18"/>
              </w:rPr>
              <w:t xml:space="preserve"> branch</w:t>
            </w:r>
            <w:r>
              <w:rPr>
                <w:rFonts w:ascii="Times New Roman" w:eastAsia="宋体" w:hAnsi="Times New Roman" w:cs="Times New Roman"/>
                <w:bCs/>
                <w:iCs/>
                <w:snapToGrid w:val="0"/>
                <w:kern w:val="0"/>
                <w:sz w:val="18"/>
                <w:szCs w:val="18"/>
              </w:rPr>
              <w:t>’</w:t>
            </w:r>
            <w:r>
              <w:rPr>
                <w:rFonts w:ascii="Times New Roman" w:eastAsia="宋体" w:hAnsi="Times New Roman" w:cs="Times New Roman" w:hint="eastAsia"/>
                <w:bCs/>
                <w:iCs/>
                <w:snapToGrid w:val="0"/>
                <w:kern w:val="0"/>
                <w:sz w:val="18"/>
                <w:szCs w:val="18"/>
              </w:rPr>
              <w:t>s real estate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1,550,400.52</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single" w:sz="4" w:space="0" w:color="auto"/>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1,550,400.52</w:t>
            </w:r>
          </w:p>
        </w:tc>
      </w:tr>
      <w:tr w:rsidR="000B609E">
        <w:trPr>
          <w:trHeight w:hRule="exact" w:val="923"/>
          <w:jc w:val="center"/>
        </w:trPr>
        <w:tc>
          <w:tcPr>
            <w:tcW w:w="2244" w:type="dxa"/>
            <w:tcBorders>
              <w:top w:val="single" w:sz="4" w:space="0" w:color="auto"/>
              <w:left w:val="nil"/>
              <w:bottom w:val="single" w:sz="4" w:space="0" w:color="auto"/>
              <w:right w:val="single" w:sz="4" w:space="0" w:color="auto"/>
            </w:tcBorders>
            <w:vAlign w:val="center"/>
          </w:tcPr>
          <w:p w:rsidR="000B609E" w:rsidRDefault="00B220E1">
            <w:pPr>
              <w:widowControl w:val="0"/>
              <w:autoSpaceDE w:val="0"/>
              <w:autoSpaceDN w:val="0"/>
              <w:spacing w:before="40" w:after="156" w:line="400" w:lineRule="exact"/>
              <w:ind w:firstLineChars="0" w:firstLine="0"/>
              <w:rPr>
                <w:rFonts w:ascii="Arial Narrow" w:eastAsia="宋体" w:hAnsi="Arial Narrow"/>
                <w:sz w:val="18"/>
                <w:szCs w:val="18"/>
              </w:rPr>
            </w:pPr>
            <w:proofErr w:type="spellStart"/>
            <w:r>
              <w:rPr>
                <w:rFonts w:ascii="Times New Roman" w:eastAsia="宋体" w:hAnsi="Times New Roman" w:cs="Times New Roman" w:hint="eastAsia"/>
                <w:bCs/>
                <w:iCs/>
                <w:snapToGrid w:val="0"/>
                <w:kern w:val="0"/>
                <w:sz w:val="18"/>
                <w:szCs w:val="18"/>
              </w:rPr>
              <w:t>Taida</w:t>
            </w:r>
            <w:proofErr w:type="spellEnd"/>
            <w:r>
              <w:rPr>
                <w:rFonts w:ascii="Times New Roman" w:eastAsia="宋体" w:hAnsi="Times New Roman" w:cs="Times New Roman" w:hint="eastAsia"/>
                <w:bCs/>
                <w:iCs/>
                <w:snapToGrid w:val="0"/>
                <w:kern w:val="0"/>
                <w:sz w:val="18"/>
                <w:szCs w:val="18"/>
              </w:rPr>
              <w:t xml:space="preserve"> </w:t>
            </w:r>
            <w:proofErr w:type="spellStart"/>
            <w:r>
              <w:rPr>
                <w:rFonts w:ascii="Times New Roman" w:eastAsia="宋体" w:hAnsi="Times New Roman" w:cs="Times New Roman" w:hint="eastAsia"/>
                <w:bCs/>
                <w:iCs/>
                <w:snapToGrid w:val="0"/>
                <w:kern w:val="0"/>
                <w:sz w:val="18"/>
                <w:szCs w:val="18"/>
              </w:rPr>
              <w:t>Xinhewan</w:t>
            </w:r>
            <w:proofErr w:type="spellEnd"/>
            <w:r>
              <w:rPr>
                <w:rFonts w:ascii="Times New Roman" w:eastAsia="宋体" w:hAnsi="Times New Roman" w:cs="Times New Roman" w:hint="eastAsia"/>
                <w:bCs/>
                <w:iCs/>
                <w:snapToGrid w:val="0"/>
                <w:kern w:val="0"/>
                <w:sz w:val="18"/>
                <w:szCs w:val="18"/>
              </w:rPr>
              <w:t xml:space="preserve"> branch</w:t>
            </w:r>
            <w:r>
              <w:rPr>
                <w:rFonts w:ascii="Times New Roman" w:eastAsia="宋体" w:hAnsi="Times New Roman" w:cs="Times New Roman"/>
                <w:bCs/>
                <w:iCs/>
                <w:snapToGrid w:val="0"/>
                <w:kern w:val="0"/>
                <w:sz w:val="18"/>
                <w:szCs w:val="18"/>
              </w:rPr>
              <w:t>’</w:t>
            </w:r>
            <w:r>
              <w:rPr>
                <w:rFonts w:ascii="Times New Roman" w:eastAsia="宋体" w:hAnsi="Times New Roman" w:cs="Times New Roman" w:hint="eastAsia"/>
                <w:bCs/>
                <w:iCs/>
                <w:snapToGrid w:val="0"/>
                <w:kern w:val="0"/>
                <w:sz w:val="18"/>
                <w:szCs w:val="18"/>
              </w:rPr>
              <w:t>s commercial building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1,060,000.00</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color w:val="000000"/>
                <w:sz w:val="18"/>
                <w:szCs w:val="18"/>
              </w:rPr>
              <w:t>-</w:t>
            </w:r>
          </w:p>
        </w:tc>
        <w:tc>
          <w:tcPr>
            <w:tcW w:w="1272" w:type="dxa"/>
            <w:tcBorders>
              <w:top w:val="single" w:sz="4" w:space="0" w:color="auto"/>
              <w:left w:val="single" w:sz="4" w:space="0" w:color="auto"/>
              <w:bottom w:val="sing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1,060,000.00</w:t>
            </w:r>
          </w:p>
        </w:tc>
      </w:tr>
      <w:tr w:rsidR="000B609E" w:rsidTr="00402409">
        <w:trPr>
          <w:trHeight w:hRule="exact" w:val="454"/>
          <w:jc w:val="center"/>
        </w:trPr>
        <w:tc>
          <w:tcPr>
            <w:tcW w:w="2244" w:type="dxa"/>
            <w:tcBorders>
              <w:top w:val="single" w:sz="4" w:space="0" w:color="auto"/>
              <w:left w:val="nil"/>
              <w:bottom w:val="double" w:sz="4" w:space="0" w:color="auto"/>
              <w:right w:val="single" w:sz="4" w:space="0" w:color="auto"/>
            </w:tcBorders>
            <w:vAlign w:val="bottom"/>
          </w:tcPr>
          <w:p w:rsidR="000B609E" w:rsidRDefault="00B220E1">
            <w:pPr>
              <w:autoSpaceDE w:val="0"/>
              <w:autoSpaceDN w:val="0"/>
              <w:spacing w:afterLines="0" w:after="0"/>
              <w:ind w:firstLineChars="0" w:firstLine="0"/>
              <w:jc w:val="center"/>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Total</w:t>
            </w:r>
          </w:p>
        </w:tc>
        <w:tc>
          <w:tcPr>
            <w:tcW w:w="1560" w:type="dxa"/>
            <w:tcBorders>
              <w:top w:val="single" w:sz="4" w:space="0" w:color="auto"/>
              <w:left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101,373,833.56</w:t>
            </w:r>
          </w:p>
        </w:tc>
        <w:tc>
          <w:tcPr>
            <w:tcW w:w="1476" w:type="dxa"/>
            <w:tcBorders>
              <w:top w:val="single" w:sz="4" w:space="0" w:color="auto"/>
              <w:left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9,942,726.70</w:t>
            </w:r>
          </w:p>
        </w:tc>
        <w:tc>
          <w:tcPr>
            <w:tcW w:w="1764" w:type="dxa"/>
            <w:tcBorders>
              <w:top w:val="single" w:sz="4" w:space="0" w:color="auto"/>
              <w:left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24,690,285.23</w:t>
            </w:r>
          </w:p>
        </w:tc>
        <w:tc>
          <w:tcPr>
            <w:tcW w:w="1356" w:type="dxa"/>
            <w:tcBorders>
              <w:top w:val="single" w:sz="4" w:space="0" w:color="auto"/>
              <w:left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w:t>
            </w:r>
          </w:p>
        </w:tc>
        <w:tc>
          <w:tcPr>
            <w:tcW w:w="1272" w:type="dxa"/>
            <w:tcBorders>
              <w:top w:val="single" w:sz="4" w:space="0" w:color="auto"/>
              <w:left w:val="single" w:sz="4" w:space="0" w:color="auto"/>
              <w:bottom w:val="doub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86,626,275.03</w:t>
            </w:r>
          </w:p>
        </w:tc>
      </w:tr>
    </w:tbl>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14. Intangible assets</w:t>
      </w:r>
    </w:p>
    <w:p w:rsidR="000B609E" w:rsidRDefault="00B220E1">
      <w:pPr>
        <w:pStyle w:val="11"/>
        <w:spacing w:beforeLines="50" w:before="156"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 xml:space="preserve">Intangible assets of the group and the bank </w:t>
      </w:r>
    </w:p>
    <w:tbl>
      <w:tblPr>
        <w:tblW w:w="9276" w:type="dxa"/>
        <w:jc w:val="center"/>
        <w:tblBorders>
          <w:top w:val="double" w:sz="4" w:space="0" w:color="auto"/>
          <w:bottom w:val="double" w:sz="4" w:space="0" w:color="auto"/>
          <w:insideH w:val="single" w:sz="2" w:space="0" w:color="auto"/>
          <w:insideV w:val="single" w:sz="2" w:space="0" w:color="auto"/>
        </w:tblBorders>
        <w:tblLayout w:type="fixed"/>
        <w:tblLook w:val="04A0" w:firstRow="1" w:lastRow="0" w:firstColumn="1" w:lastColumn="0" w:noHBand="0" w:noVBand="1"/>
      </w:tblPr>
      <w:tblGrid>
        <w:gridCol w:w="2868"/>
        <w:gridCol w:w="2052"/>
        <w:gridCol w:w="2302"/>
        <w:gridCol w:w="2054"/>
      </w:tblGrid>
      <w:tr w:rsidR="000B609E">
        <w:trPr>
          <w:trHeight w:val="340"/>
          <w:tblHeader/>
          <w:jc w:val="center"/>
        </w:trPr>
        <w:tc>
          <w:tcPr>
            <w:tcW w:w="2868" w:type="dxa"/>
            <w:vAlign w:val="center"/>
          </w:tcPr>
          <w:p w:rsidR="000B609E" w:rsidRDefault="00B220E1">
            <w:pPr>
              <w:spacing w:afterLines="0" w:after="0"/>
              <w:ind w:firstLineChars="0" w:firstLine="0"/>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snapToGrid w:val="0"/>
                <w:kern w:val="0"/>
                <w:sz w:val="18"/>
                <w:szCs w:val="18"/>
                <w:lang w:val="en-GB"/>
              </w:rPr>
              <w:t>Items</w:t>
            </w:r>
          </w:p>
        </w:tc>
        <w:tc>
          <w:tcPr>
            <w:tcW w:w="2052" w:type="dxa"/>
            <w:vAlign w:val="center"/>
          </w:tcPr>
          <w:p w:rsidR="000B609E" w:rsidRDefault="00B220E1">
            <w:pPr>
              <w:spacing w:afterLines="0" w:after="0"/>
              <w:ind w:firstLine="361"/>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snapToGrid w:val="0"/>
                <w:kern w:val="0"/>
                <w:sz w:val="18"/>
                <w:szCs w:val="18"/>
                <w:lang w:val="en-GB" w:eastAsia="en-US"/>
              </w:rPr>
              <w:t>Land use rights</w:t>
            </w:r>
          </w:p>
        </w:tc>
        <w:tc>
          <w:tcPr>
            <w:tcW w:w="2302" w:type="dxa"/>
            <w:vAlign w:val="center"/>
          </w:tcPr>
          <w:p w:rsidR="000B609E" w:rsidRDefault="00B220E1">
            <w:pPr>
              <w:spacing w:afterLines="0" w:after="0"/>
              <w:ind w:firstLine="361"/>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snapToGrid w:val="0"/>
                <w:kern w:val="0"/>
                <w:sz w:val="18"/>
                <w:szCs w:val="18"/>
                <w:lang w:val="en-GB"/>
              </w:rPr>
              <w:t>Software and others</w:t>
            </w:r>
          </w:p>
        </w:tc>
        <w:tc>
          <w:tcPr>
            <w:tcW w:w="2054" w:type="dxa"/>
          </w:tcPr>
          <w:p w:rsidR="000B609E" w:rsidRDefault="00B220E1">
            <w:pPr>
              <w:spacing w:afterLines="0" w:after="0"/>
              <w:ind w:firstLine="361"/>
              <w:jc w:val="center"/>
              <w:rPr>
                <w:rFonts w:ascii="Times New Roman" w:eastAsia="宋体" w:hAnsi="Times New Roman" w:cs="Times New Roman"/>
                <w:b/>
                <w:snapToGrid w:val="0"/>
                <w:kern w:val="0"/>
                <w:sz w:val="18"/>
                <w:szCs w:val="18"/>
                <w:lang w:val="en-GB"/>
              </w:rPr>
            </w:pPr>
            <w:r>
              <w:rPr>
                <w:rFonts w:ascii="Times New Roman" w:eastAsia="宋体" w:hAnsi="Times New Roman" w:cs="Times New Roman"/>
                <w:b/>
                <w:snapToGrid w:val="0"/>
                <w:kern w:val="0"/>
                <w:sz w:val="18"/>
                <w:szCs w:val="18"/>
                <w:lang w:val="en-GB"/>
              </w:rPr>
              <w:t>Total</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Book value</w:t>
            </w:r>
          </w:p>
        </w:tc>
        <w:tc>
          <w:tcPr>
            <w:tcW w:w="2052" w:type="dxa"/>
            <w:vAlign w:val="center"/>
          </w:tcPr>
          <w:p w:rsidR="000B609E" w:rsidRDefault="000B609E">
            <w:pPr>
              <w:spacing w:afterLines="0" w:after="0"/>
              <w:ind w:firstLine="360"/>
              <w:jc w:val="right"/>
              <w:rPr>
                <w:rFonts w:ascii="Arial Narrow" w:eastAsia="宋体" w:hAnsi="Arial Narrow" w:cs="Times New Roman"/>
                <w:snapToGrid w:val="0"/>
                <w:kern w:val="0"/>
                <w:sz w:val="18"/>
                <w:szCs w:val="18"/>
                <w:lang w:val="en-GB"/>
              </w:rPr>
            </w:pPr>
          </w:p>
        </w:tc>
        <w:tc>
          <w:tcPr>
            <w:tcW w:w="2302" w:type="dxa"/>
            <w:vAlign w:val="center"/>
          </w:tcPr>
          <w:p w:rsidR="000B609E" w:rsidRDefault="000B609E">
            <w:pPr>
              <w:spacing w:afterLines="0" w:after="0"/>
              <w:ind w:firstLine="360"/>
              <w:jc w:val="right"/>
              <w:rPr>
                <w:rFonts w:ascii="Arial Narrow" w:eastAsia="宋体" w:hAnsi="Arial Narrow" w:cs="Times New Roman"/>
                <w:snapToGrid w:val="0"/>
                <w:kern w:val="0"/>
                <w:sz w:val="18"/>
                <w:szCs w:val="18"/>
                <w:lang w:val="en-GB"/>
              </w:rPr>
            </w:pPr>
          </w:p>
        </w:tc>
        <w:tc>
          <w:tcPr>
            <w:tcW w:w="2054" w:type="dxa"/>
            <w:vAlign w:val="center"/>
          </w:tcPr>
          <w:p w:rsidR="000B609E" w:rsidRDefault="000B609E">
            <w:pPr>
              <w:spacing w:afterLines="0" w:after="0"/>
              <w:ind w:firstLine="360"/>
              <w:jc w:val="right"/>
              <w:rPr>
                <w:rFonts w:ascii="Arial Narrow" w:eastAsia="宋体" w:hAnsi="Arial Narrow" w:cs="Times New Roman"/>
                <w:snapToGrid w:val="0"/>
                <w:kern w:val="0"/>
                <w:sz w:val="18"/>
                <w:szCs w:val="18"/>
                <w:lang w:val="en-GB"/>
              </w:rPr>
            </w:pP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eastAsia="en-US"/>
              </w:rPr>
              <w:t>1.</w:t>
            </w:r>
            <w:r>
              <w:rPr>
                <w:rFonts w:ascii="Times New Roman" w:eastAsia="宋体" w:hAnsi="Times New Roman" w:cs="Times New Roman"/>
                <w:snapToGrid w:val="0"/>
                <w:kern w:val="0"/>
                <w:sz w:val="18"/>
                <w:szCs w:val="18"/>
                <w:lang w:val="en-GB"/>
              </w:rPr>
              <w:t>Beginning balance</w:t>
            </w:r>
          </w:p>
        </w:tc>
        <w:tc>
          <w:tcPr>
            <w:tcW w:w="2052" w:type="dxa"/>
            <w:vAlign w:val="center"/>
          </w:tcPr>
          <w:p w:rsidR="000B609E" w:rsidRPr="004B24DA" w:rsidRDefault="00B220E1">
            <w:pPr>
              <w:spacing w:afterLines="0" w:after="0"/>
              <w:ind w:firstLineChars="0" w:firstLine="0"/>
              <w:jc w:val="right"/>
              <w:rPr>
                <w:rFonts w:ascii="Arial Narrow" w:eastAsia="宋体" w:hAnsi="Arial Narrow" w:cs="Arial Narrow"/>
                <w:bCs/>
                <w:snapToGrid w:val="0"/>
                <w:kern w:val="0"/>
                <w:sz w:val="18"/>
                <w:szCs w:val="18"/>
                <w:lang w:val="en-GB" w:eastAsia="en-US"/>
              </w:rPr>
            </w:pPr>
            <w:r w:rsidRPr="004B24DA">
              <w:rPr>
                <w:rFonts w:ascii="Arial Narrow" w:hAnsi="Arial Narrow" w:cs="宋体"/>
                <w:bCs/>
                <w:color w:val="000000"/>
                <w:sz w:val="18"/>
                <w:szCs w:val="18"/>
              </w:rPr>
              <w:t>50,308,482.90</w:t>
            </w:r>
          </w:p>
        </w:tc>
        <w:tc>
          <w:tcPr>
            <w:tcW w:w="2302" w:type="dxa"/>
            <w:vAlign w:val="center"/>
          </w:tcPr>
          <w:p w:rsidR="000B609E" w:rsidRPr="004B24DA" w:rsidRDefault="00B220E1">
            <w:pPr>
              <w:spacing w:afterLines="0" w:after="0"/>
              <w:ind w:firstLineChars="0" w:firstLine="0"/>
              <w:jc w:val="right"/>
              <w:rPr>
                <w:rFonts w:ascii="Arial Narrow" w:eastAsia="宋体" w:hAnsi="Arial Narrow" w:cs="Arial Narrow"/>
                <w:bCs/>
                <w:snapToGrid w:val="0"/>
                <w:kern w:val="0"/>
                <w:sz w:val="18"/>
                <w:szCs w:val="18"/>
                <w:lang w:val="en-GB" w:eastAsia="en-US"/>
              </w:rPr>
            </w:pPr>
            <w:r w:rsidRPr="004B24DA">
              <w:rPr>
                <w:rFonts w:ascii="Arial Narrow" w:hAnsi="Arial Narrow" w:cs="宋体"/>
                <w:bCs/>
                <w:color w:val="000000"/>
                <w:sz w:val="18"/>
                <w:szCs w:val="18"/>
              </w:rPr>
              <w:t>1,007,984.00</w:t>
            </w:r>
          </w:p>
        </w:tc>
        <w:tc>
          <w:tcPr>
            <w:tcW w:w="2054"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hAnsi="Arial Narrow" w:cs="宋体"/>
                <w:b/>
                <w:bCs/>
                <w:color w:val="000000"/>
                <w:sz w:val="18"/>
                <w:szCs w:val="18"/>
              </w:rPr>
              <w:t>51,316,466.90</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2.Increase in the current year</w:t>
            </w:r>
          </w:p>
        </w:tc>
        <w:tc>
          <w:tcPr>
            <w:tcW w:w="205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30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2054"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eastAsia="宋体" w:hAnsi="Arial Narrow" w:cs="Arial Narrow" w:hint="eastAsia"/>
                <w:b/>
                <w:bCs/>
                <w:snapToGrid w:val="0"/>
                <w:kern w:val="0"/>
                <w:sz w:val="18"/>
                <w:szCs w:val="18"/>
                <w:lang w:val="en-GB"/>
              </w:rPr>
              <w:t>-</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Purchase</w:t>
            </w:r>
          </w:p>
        </w:tc>
        <w:tc>
          <w:tcPr>
            <w:tcW w:w="205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30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eastAsia="宋体" w:hAnsi="Arial Narrow" w:cs="Arial Narrow" w:hint="eastAsia"/>
                <w:snapToGrid w:val="0"/>
                <w:kern w:val="0"/>
                <w:sz w:val="18"/>
                <w:szCs w:val="18"/>
                <w:lang w:val="en-GB"/>
              </w:rPr>
              <w:t>-</w:t>
            </w:r>
          </w:p>
        </w:tc>
        <w:tc>
          <w:tcPr>
            <w:tcW w:w="2054"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eastAsia="宋体" w:hAnsi="Arial Narrow" w:cs="Arial Narrow" w:hint="eastAsia"/>
                <w:b/>
                <w:bCs/>
                <w:snapToGrid w:val="0"/>
                <w:kern w:val="0"/>
                <w:sz w:val="18"/>
                <w:szCs w:val="18"/>
                <w:lang w:val="en-GB"/>
              </w:rPr>
              <w:t>-</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Construction in progress</w:t>
            </w:r>
          </w:p>
        </w:tc>
        <w:tc>
          <w:tcPr>
            <w:tcW w:w="205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30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054"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Business combinations</w:t>
            </w:r>
          </w:p>
        </w:tc>
        <w:tc>
          <w:tcPr>
            <w:tcW w:w="205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30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054"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3.Decrease in the current year</w:t>
            </w:r>
          </w:p>
        </w:tc>
        <w:tc>
          <w:tcPr>
            <w:tcW w:w="205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30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054"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Disposal</w:t>
            </w:r>
          </w:p>
        </w:tc>
        <w:tc>
          <w:tcPr>
            <w:tcW w:w="205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302" w:type="dxa"/>
            <w:vAlign w:val="center"/>
          </w:tcPr>
          <w:p w:rsidR="000B609E" w:rsidRPr="004B24DA"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054"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4.Ending balance</w:t>
            </w:r>
          </w:p>
        </w:tc>
        <w:tc>
          <w:tcPr>
            <w:tcW w:w="2052" w:type="dxa"/>
            <w:vAlign w:val="center"/>
          </w:tcPr>
          <w:p w:rsidR="000B609E" w:rsidRPr="004B24DA" w:rsidRDefault="00B220E1">
            <w:pPr>
              <w:spacing w:afterLines="0" w:after="0"/>
              <w:ind w:firstLineChars="0" w:firstLine="0"/>
              <w:jc w:val="right"/>
              <w:rPr>
                <w:rFonts w:ascii="Arial Narrow" w:eastAsia="宋体" w:hAnsi="Arial Narrow" w:cs="Arial Narrow"/>
                <w:bCs/>
                <w:snapToGrid w:val="0"/>
                <w:kern w:val="0"/>
                <w:sz w:val="18"/>
                <w:szCs w:val="18"/>
                <w:lang w:val="en-GB"/>
              </w:rPr>
            </w:pPr>
            <w:r w:rsidRPr="004B24DA">
              <w:rPr>
                <w:rFonts w:ascii="Arial Narrow" w:hAnsi="Arial Narrow" w:cs="宋体"/>
                <w:bCs/>
                <w:color w:val="000000"/>
                <w:sz w:val="18"/>
                <w:szCs w:val="18"/>
              </w:rPr>
              <w:t>50,308,482.90</w:t>
            </w:r>
          </w:p>
        </w:tc>
        <w:tc>
          <w:tcPr>
            <w:tcW w:w="2302" w:type="dxa"/>
            <w:vAlign w:val="center"/>
          </w:tcPr>
          <w:p w:rsidR="000B609E" w:rsidRPr="004B24DA" w:rsidRDefault="00B220E1">
            <w:pPr>
              <w:spacing w:afterLines="0" w:after="0"/>
              <w:ind w:firstLineChars="0" w:firstLine="0"/>
              <w:jc w:val="right"/>
              <w:rPr>
                <w:rFonts w:ascii="Arial Narrow" w:eastAsia="宋体" w:hAnsi="Arial Narrow" w:cs="Arial Narrow"/>
                <w:bCs/>
                <w:snapToGrid w:val="0"/>
                <w:kern w:val="0"/>
                <w:sz w:val="18"/>
                <w:szCs w:val="18"/>
                <w:lang w:val="en-GB"/>
              </w:rPr>
            </w:pPr>
            <w:r w:rsidRPr="004B24DA">
              <w:rPr>
                <w:rFonts w:ascii="Arial Narrow" w:hAnsi="Arial Narrow" w:cs="宋体"/>
                <w:bCs/>
                <w:color w:val="000000"/>
                <w:sz w:val="18"/>
                <w:szCs w:val="18"/>
              </w:rPr>
              <w:t>1,007,984.00</w:t>
            </w:r>
          </w:p>
        </w:tc>
        <w:tc>
          <w:tcPr>
            <w:tcW w:w="2054"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51,316,466.90</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Accumulated depreciation</w:t>
            </w:r>
          </w:p>
        </w:tc>
        <w:tc>
          <w:tcPr>
            <w:tcW w:w="2052" w:type="dxa"/>
            <w:vAlign w:val="center"/>
          </w:tcPr>
          <w:p w:rsidR="000B609E" w:rsidRPr="004B24DA"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2302" w:type="dxa"/>
            <w:vAlign w:val="center"/>
          </w:tcPr>
          <w:p w:rsidR="000B609E" w:rsidRPr="004B24DA"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2054" w:type="dxa"/>
            <w:vAlign w:val="center"/>
          </w:tcPr>
          <w:p w:rsidR="000B609E" w:rsidRDefault="000B609E">
            <w:pPr>
              <w:spacing w:afterLines="0" w:after="0"/>
              <w:ind w:firstLineChars="0" w:firstLine="0"/>
              <w:jc w:val="right"/>
              <w:rPr>
                <w:rFonts w:ascii="Arial Narrow" w:eastAsia="宋体" w:hAnsi="Arial Narrow" w:cs="Arial Narrow"/>
                <w:b/>
                <w:bCs/>
                <w:snapToGrid w:val="0"/>
                <w:kern w:val="0"/>
                <w:sz w:val="18"/>
                <w:szCs w:val="18"/>
                <w:lang w:val="en-GB" w:eastAsia="en-US"/>
              </w:rPr>
            </w:pP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1.Beginning balance</w:t>
            </w:r>
          </w:p>
        </w:tc>
        <w:tc>
          <w:tcPr>
            <w:tcW w:w="2052" w:type="dxa"/>
            <w:vAlign w:val="center"/>
          </w:tcPr>
          <w:p w:rsidR="000B609E" w:rsidRPr="004B24DA" w:rsidRDefault="00B220E1">
            <w:pPr>
              <w:spacing w:afterLines="0" w:after="0"/>
              <w:ind w:firstLineChars="0" w:firstLine="0"/>
              <w:jc w:val="right"/>
              <w:rPr>
                <w:rFonts w:ascii="Arial Narrow" w:eastAsia="宋体" w:hAnsi="Arial Narrow" w:cs="Arial Narrow"/>
                <w:bCs/>
                <w:snapToGrid w:val="0"/>
                <w:kern w:val="0"/>
                <w:sz w:val="18"/>
                <w:szCs w:val="18"/>
                <w:lang w:val="en-GB"/>
              </w:rPr>
            </w:pPr>
            <w:r w:rsidRPr="004B24DA">
              <w:rPr>
                <w:rFonts w:ascii="Arial Narrow" w:hAnsi="Arial Narrow" w:hint="eastAsia"/>
                <w:bCs/>
                <w:color w:val="000000"/>
                <w:sz w:val="18"/>
                <w:szCs w:val="18"/>
              </w:rPr>
              <w:t xml:space="preserve"> 16,039,310.00 </w:t>
            </w:r>
          </w:p>
        </w:tc>
        <w:tc>
          <w:tcPr>
            <w:tcW w:w="2302" w:type="dxa"/>
            <w:vAlign w:val="center"/>
          </w:tcPr>
          <w:p w:rsidR="000B609E" w:rsidRPr="004B24DA" w:rsidRDefault="00B220E1">
            <w:pPr>
              <w:spacing w:afterLines="0" w:after="0"/>
              <w:ind w:firstLineChars="0" w:firstLine="0"/>
              <w:jc w:val="right"/>
              <w:rPr>
                <w:rFonts w:ascii="Arial Narrow" w:eastAsia="宋体" w:hAnsi="Arial Narrow" w:cs="Arial Narrow"/>
                <w:bCs/>
                <w:snapToGrid w:val="0"/>
                <w:kern w:val="0"/>
                <w:sz w:val="18"/>
                <w:szCs w:val="18"/>
                <w:lang w:val="en-GB"/>
              </w:rPr>
            </w:pPr>
            <w:r w:rsidRPr="004B24DA">
              <w:rPr>
                <w:rFonts w:ascii="Arial Narrow" w:hAnsi="Arial Narrow" w:hint="eastAsia"/>
                <w:bCs/>
                <w:color w:val="000000"/>
                <w:sz w:val="18"/>
                <w:szCs w:val="18"/>
              </w:rPr>
              <w:t xml:space="preserve"> 119,948.31 </w:t>
            </w:r>
          </w:p>
        </w:tc>
        <w:tc>
          <w:tcPr>
            <w:tcW w:w="2054"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 16,159,258.31 </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2.Increase in the current year</w:t>
            </w:r>
          </w:p>
        </w:tc>
        <w:tc>
          <w:tcPr>
            <w:tcW w:w="2052"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1,257,712.07</w:t>
            </w:r>
          </w:p>
        </w:tc>
        <w:tc>
          <w:tcPr>
            <w:tcW w:w="2302"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100,798.44</w:t>
            </w:r>
          </w:p>
        </w:tc>
        <w:tc>
          <w:tcPr>
            <w:tcW w:w="2054"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color w:val="000000"/>
                <w:sz w:val="18"/>
                <w:szCs w:val="18"/>
              </w:rPr>
              <w:t>1,358,510.51</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Provision</w:t>
            </w:r>
          </w:p>
        </w:tc>
        <w:tc>
          <w:tcPr>
            <w:tcW w:w="2052"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2302" w:type="dxa"/>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lang w:val="en-GB"/>
              </w:rPr>
            </w:pPr>
            <w:r>
              <w:rPr>
                <w:rFonts w:ascii="Arial Narrow" w:hAnsi="Arial Narrow" w:cs="宋体"/>
                <w:color w:val="000000"/>
                <w:sz w:val="18"/>
                <w:szCs w:val="18"/>
              </w:rPr>
              <w:t xml:space="preserve">-   </w:t>
            </w:r>
          </w:p>
        </w:tc>
        <w:tc>
          <w:tcPr>
            <w:tcW w:w="2054"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 xml:space="preserve">-   </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3.Decrease in the current year</w:t>
            </w:r>
          </w:p>
        </w:tc>
        <w:tc>
          <w:tcPr>
            <w:tcW w:w="2052"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302"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054"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100" w:firstLine="18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lastRenderedPageBreak/>
              <w:t>Disposal</w:t>
            </w:r>
          </w:p>
        </w:tc>
        <w:tc>
          <w:tcPr>
            <w:tcW w:w="2052"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302" w:type="dxa"/>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lang w:val="en-GB" w:eastAsia="en-US"/>
              </w:rPr>
            </w:pPr>
            <w:r>
              <w:rPr>
                <w:rFonts w:ascii="Arial Narrow" w:eastAsia="宋体" w:hAnsi="Arial Narrow" w:cs="Arial Narrow" w:hint="eastAsia"/>
                <w:snapToGrid w:val="0"/>
                <w:kern w:val="0"/>
                <w:sz w:val="18"/>
                <w:szCs w:val="18"/>
                <w:lang w:val="en-GB"/>
              </w:rPr>
              <w:t>-</w:t>
            </w:r>
          </w:p>
        </w:tc>
        <w:tc>
          <w:tcPr>
            <w:tcW w:w="2054" w:type="dxa"/>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eastAsia="宋体" w:hAnsi="Arial Narrow" w:cs="Arial Narrow" w:hint="eastAsia"/>
                <w:b/>
                <w:bCs/>
                <w:snapToGrid w:val="0"/>
                <w:kern w:val="0"/>
                <w:sz w:val="18"/>
                <w:szCs w:val="18"/>
                <w:lang w:val="en-GB"/>
              </w:rPr>
              <w:t>-</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4.Ending balance</w:t>
            </w:r>
          </w:p>
        </w:tc>
        <w:tc>
          <w:tcPr>
            <w:tcW w:w="2052" w:type="dxa"/>
            <w:vAlign w:val="center"/>
          </w:tcPr>
          <w:p w:rsidR="000B609E" w:rsidRPr="004B24DA" w:rsidRDefault="00B220E1">
            <w:pPr>
              <w:spacing w:afterLines="0" w:after="0"/>
              <w:ind w:firstLineChars="0" w:firstLine="0"/>
              <w:jc w:val="right"/>
              <w:rPr>
                <w:rFonts w:ascii="Arial Narrow" w:eastAsia="宋体" w:hAnsi="Arial Narrow" w:cs="Arial Narrow"/>
                <w:bCs/>
                <w:snapToGrid w:val="0"/>
                <w:kern w:val="0"/>
                <w:sz w:val="18"/>
                <w:szCs w:val="18"/>
                <w:lang w:val="en-GB"/>
              </w:rPr>
            </w:pPr>
            <w:r w:rsidRPr="004B24DA">
              <w:rPr>
                <w:rFonts w:ascii="Arial Narrow" w:hAnsi="Arial Narrow" w:cs="宋体"/>
                <w:bCs/>
                <w:color w:val="000000"/>
                <w:sz w:val="18"/>
                <w:szCs w:val="18"/>
              </w:rPr>
              <w:t>17,297,022.07</w:t>
            </w:r>
          </w:p>
        </w:tc>
        <w:tc>
          <w:tcPr>
            <w:tcW w:w="2302" w:type="dxa"/>
            <w:vAlign w:val="center"/>
          </w:tcPr>
          <w:p w:rsidR="000B609E" w:rsidRPr="004B24DA" w:rsidRDefault="00B220E1">
            <w:pPr>
              <w:spacing w:afterLines="0" w:after="0"/>
              <w:ind w:firstLineChars="0" w:firstLine="0"/>
              <w:jc w:val="right"/>
              <w:rPr>
                <w:rFonts w:ascii="Arial Narrow" w:eastAsia="宋体" w:hAnsi="Arial Narrow" w:cs="Arial Narrow"/>
                <w:bCs/>
                <w:snapToGrid w:val="0"/>
                <w:kern w:val="0"/>
                <w:sz w:val="18"/>
                <w:szCs w:val="18"/>
                <w:lang w:val="en-GB"/>
              </w:rPr>
            </w:pPr>
            <w:r w:rsidRPr="004B24DA">
              <w:rPr>
                <w:rFonts w:ascii="Arial Narrow" w:hAnsi="Arial Narrow" w:cs="宋体"/>
                <w:bCs/>
                <w:color w:val="000000"/>
                <w:sz w:val="18"/>
                <w:szCs w:val="18"/>
              </w:rPr>
              <w:t>220,746.75</w:t>
            </w:r>
          </w:p>
        </w:tc>
        <w:tc>
          <w:tcPr>
            <w:tcW w:w="2054"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17,517,768.82</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Impairment allowances</w:t>
            </w:r>
          </w:p>
        </w:tc>
        <w:tc>
          <w:tcPr>
            <w:tcW w:w="2052"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2302"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2054" w:type="dxa"/>
            <w:vAlign w:val="center"/>
          </w:tcPr>
          <w:p w:rsidR="000B609E" w:rsidRDefault="000B609E">
            <w:pPr>
              <w:spacing w:afterLines="0" w:after="0"/>
              <w:ind w:firstLineChars="0" w:firstLine="0"/>
              <w:jc w:val="right"/>
              <w:rPr>
                <w:rFonts w:ascii="Arial Narrow" w:eastAsia="宋体" w:hAnsi="Arial Narrow" w:cs="Arial Narrow"/>
                <w:b/>
                <w:bCs/>
                <w:snapToGrid w:val="0"/>
                <w:kern w:val="0"/>
                <w:sz w:val="18"/>
                <w:szCs w:val="18"/>
                <w:lang w:val="en-GB" w:eastAsia="en-US"/>
              </w:rPr>
            </w:pP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b/>
                <w:iCs/>
                <w:snapToGrid w:val="0"/>
                <w:kern w:val="0"/>
                <w:sz w:val="18"/>
                <w:szCs w:val="18"/>
                <w:lang w:val="en-GB"/>
              </w:rPr>
            </w:pPr>
            <w:r>
              <w:rPr>
                <w:rFonts w:ascii="Times New Roman" w:eastAsia="宋体" w:hAnsi="Times New Roman" w:cs="Times New Roman"/>
                <w:b/>
                <w:iCs/>
                <w:snapToGrid w:val="0"/>
                <w:kern w:val="0"/>
                <w:sz w:val="18"/>
                <w:szCs w:val="18"/>
                <w:lang w:val="en-GB"/>
              </w:rPr>
              <w:t>Net book value</w:t>
            </w:r>
          </w:p>
        </w:tc>
        <w:tc>
          <w:tcPr>
            <w:tcW w:w="2052"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rPr>
            </w:pPr>
          </w:p>
        </w:tc>
        <w:tc>
          <w:tcPr>
            <w:tcW w:w="2302" w:type="dxa"/>
            <w:vAlign w:val="center"/>
          </w:tcPr>
          <w:p w:rsidR="000B609E" w:rsidRDefault="000B609E">
            <w:pPr>
              <w:spacing w:afterLines="0" w:after="0"/>
              <w:ind w:firstLineChars="0" w:firstLine="0"/>
              <w:jc w:val="right"/>
              <w:rPr>
                <w:rFonts w:ascii="Arial Narrow" w:eastAsia="宋体" w:hAnsi="Arial Narrow" w:cs="Arial Narrow"/>
                <w:snapToGrid w:val="0"/>
                <w:kern w:val="0"/>
                <w:sz w:val="18"/>
                <w:szCs w:val="18"/>
                <w:lang w:val="en-GB" w:eastAsia="en-US"/>
              </w:rPr>
            </w:pPr>
          </w:p>
        </w:tc>
        <w:tc>
          <w:tcPr>
            <w:tcW w:w="2054" w:type="dxa"/>
            <w:vAlign w:val="center"/>
          </w:tcPr>
          <w:p w:rsidR="000B609E" w:rsidRDefault="000B609E">
            <w:pPr>
              <w:spacing w:afterLines="0" w:after="0"/>
              <w:ind w:firstLineChars="0" w:firstLine="0"/>
              <w:jc w:val="right"/>
              <w:rPr>
                <w:rFonts w:ascii="Arial Narrow" w:eastAsia="宋体" w:hAnsi="Arial Narrow" w:cs="Arial Narrow"/>
                <w:b/>
                <w:bCs/>
                <w:snapToGrid w:val="0"/>
                <w:kern w:val="0"/>
                <w:sz w:val="18"/>
                <w:szCs w:val="18"/>
                <w:lang w:val="en-GB" w:eastAsia="en-US"/>
              </w:rPr>
            </w:pP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b/>
                <w:bCs/>
                <w:snapToGrid w:val="0"/>
                <w:kern w:val="0"/>
                <w:sz w:val="18"/>
                <w:szCs w:val="18"/>
                <w:lang w:val="en-GB" w:eastAsia="en-US"/>
              </w:rPr>
            </w:pPr>
            <w:r>
              <w:rPr>
                <w:rFonts w:ascii="Times New Roman" w:eastAsia="宋体" w:hAnsi="Times New Roman" w:cs="Times New Roman"/>
                <w:b/>
                <w:bCs/>
                <w:snapToGrid w:val="0"/>
                <w:kern w:val="0"/>
                <w:sz w:val="18"/>
                <w:szCs w:val="18"/>
                <w:lang w:val="en-GB"/>
              </w:rPr>
              <w:t>December 31, 201</w:t>
            </w:r>
            <w:r>
              <w:rPr>
                <w:rFonts w:ascii="Times New Roman" w:eastAsia="宋体" w:hAnsi="Times New Roman" w:cs="Times New Roman" w:hint="eastAsia"/>
                <w:b/>
                <w:bCs/>
                <w:snapToGrid w:val="0"/>
                <w:kern w:val="0"/>
                <w:sz w:val="18"/>
                <w:szCs w:val="18"/>
              </w:rPr>
              <w:t>9</w:t>
            </w:r>
          </w:p>
        </w:tc>
        <w:tc>
          <w:tcPr>
            <w:tcW w:w="2052"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33,011,460.83</w:t>
            </w:r>
          </w:p>
        </w:tc>
        <w:tc>
          <w:tcPr>
            <w:tcW w:w="2302"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787,237.25</w:t>
            </w:r>
          </w:p>
        </w:tc>
        <w:tc>
          <w:tcPr>
            <w:tcW w:w="2054"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cs="宋体"/>
                <w:b/>
                <w:bCs/>
                <w:color w:val="000000"/>
                <w:sz w:val="18"/>
                <w:szCs w:val="18"/>
              </w:rPr>
              <w:t>33,798,698.08</w:t>
            </w:r>
          </w:p>
        </w:tc>
      </w:tr>
      <w:tr w:rsidR="000B609E">
        <w:trPr>
          <w:trHeight w:hRule="exact" w:val="454"/>
          <w:jc w:val="center"/>
        </w:trPr>
        <w:tc>
          <w:tcPr>
            <w:tcW w:w="2868" w:type="dxa"/>
            <w:vAlign w:val="center"/>
          </w:tcPr>
          <w:p w:rsidR="000B609E" w:rsidRDefault="00B220E1">
            <w:pPr>
              <w:autoSpaceDE w:val="0"/>
              <w:autoSpaceDN w:val="0"/>
              <w:spacing w:afterLines="0" w:after="0"/>
              <w:ind w:firstLineChars="0" w:firstLine="0"/>
              <w:rPr>
                <w:rFonts w:ascii="Times New Roman" w:eastAsia="宋体" w:hAnsi="Times New Roman" w:cs="Times New Roman"/>
                <w:b/>
                <w:bCs/>
                <w:snapToGrid w:val="0"/>
                <w:kern w:val="0"/>
                <w:sz w:val="18"/>
                <w:szCs w:val="18"/>
                <w:lang w:val="en-GB"/>
              </w:rPr>
            </w:pPr>
            <w:r>
              <w:rPr>
                <w:rFonts w:ascii="Times New Roman" w:eastAsia="宋体" w:hAnsi="Times New Roman" w:cs="Times New Roman"/>
                <w:b/>
                <w:bCs/>
                <w:snapToGrid w:val="0"/>
                <w:kern w:val="0"/>
                <w:sz w:val="18"/>
                <w:szCs w:val="18"/>
                <w:lang w:val="en-GB"/>
              </w:rPr>
              <w:t>December 31, 201</w:t>
            </w:r>
            <w:r>
              <w:rPr>
                <w:rFonts w:ascii="Times New Roman" w:eastAsia="宋体" w:hAnsi="Times New Roman" w:cs="Times New Roman" w:hint="eastAsia"/>
                <w:b/>
                <w:bCs/>
                <w:snapToGrid w:val="0"/>
                <w:kern w:val="0"/>
                <w:sz w:val="18"/>
                <w:szCs w:val="18"/>
              </w:rPr>
              <w:t>8</w:t>
            </w:r>
          </w:p>
        </w:tc>
        <w:tc>
          <w:tcPr>
            <w:tcW w:w="2052"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hAnsi="Arial Narrow" w:hint="eastAsia"/>
                <w:b/>
                <w:bCs/>
                <w:color w:val="000000"/>
                <w:sz w:val="18"/>
                <w:szCs w:val="18"/>
              </w:rPr>
              <w:t xml:space="preserve"> 34,269,172.90 </w:t>
            </w:r>
          </w:p>
        </w:tc>
        <w:tc>
          <w:tcPr>
            <w:tcW w:w="2302"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rPr>
            </w:pPr>
            <w:r>
              <w:rPr>
                <w:rFonts w:ascii="Arial Narrow" w:hAnsi="Arial Narrow" w:hint="eastAsia"/>
                <w:b/>
                <w:bCs/>
                <w:color w:val="000000"/>
                <w:sz w:val="18"/>
                <w:szCs w:val="18"/>
              </w:rPr>
              <w:t xml:space="preserve"> 888,035.69 </w:t>
            </w:r>
          </w:p>
        </w:tc>
        <w:tc>
          <w:tcPr>
            <w:tcW w:w="2054" w:type="dxa"/>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lang w:val="en-GB" w:eastAsia="en-US"/>
              </w:rPr>
            </w:pPr>
            <w:r>
              <w:rPr>
                <w:rFonts w:ascii="Arial Narrow" w:hAnsi="Arial Narrow" w:hint="eastAsia"/>
                <w:b/>
                <w:bCs/>
                <w:color w:val="000000"/>
                <w:sz w:val="18"/>
                <w:szCs w:val="18"/>
              </w:rPr>
              <w:t xml:space="preserve"> 35,157,208.59 </w:t>
            </w:r>
          </w:p>
        </w:tc>
      </w:tr>
    </w:tbl>
    <w:p w:rsidR="000B609E" w:rsidRDefault="00B220E1">
      <w:pPr>
        <w:spacing w:beforeLines="50" w:before="156" w:afterLines="0" w:line="360" w:lineRule="auto"/>
        <w:ind w:firstLine="480"/>
        <w:rPr>
          <w:rFonts w:ascii="Times New Roman" w:hAnsi="Times New Roman" w:cs="Times New Roman"/>
          <w:sz w:val="24"/>
          <w:szCs w:val="24"/>
        </w:rPr>
      </w:pPr>
      <w:proofErr w:type="spellStart"/>
      <w:proofErr w:type="gramStart"/>
      <w:r>
        <w:rPr>
          <w:rFonts w:ascii="Times New Roman" w:hAnsi="Times New Roman" w:cs="Times New Roman" w:hint="eastAsia"/>
          <w:sz w:val="24"/>
          <w:szCs w:val="24"/>
        </w:rPr>
        <w:t>Note:</w:t>
      </w:r>
      <w:r>
        <w:rPr>
          <w:rFonts w:ascii="Times New Roman" w:hAnsi="Times New Roman" w:cs="Times New Roman"/>
          <w:sz w:val="24"/>
          <w:szCs w:val="24"/>
        </w:rPr>
        <w:t>At</w:t>
      </w:r>
      <w:proofErr w:type="spellEnd"/>
      <w:proofErr w:type="gramEnd"/>
      <w:r>
        <w:rPr>
          <w:rFonts w:ascii="Times New Roman" w:hAnsi="Times New Roman" w:cs="Times New Roman"/>
          <w:sz w:val="24"/>
          <w:szCs w:val="24"/>
        </w:rPr>
        <w:t xml:space="preserve"> the end of the year, there were no obvious signs of impairment for </w:t>
      </w:r>
      <w:r>
        <w:rPr>
          <w:rFonts w:ascii="Times New Roman" w:hAnsi="Times New Roman" w:cs="Times New Roman" w:hint="eastAsia"/>
          <w:sz w:val="24"/>
          <w:szCs w:val="24"/>
        </w:rPr>
        <w:t>intangible assets</w:t>
      </w:r>
      <w:r>
        <w:rPr>
          <w:rFonts w:ascii="Times New Roman" w:hAnsi="Times New Roman" w:cs="Times New Roman"/>
          <w:sz w:val="24"/>
          <w:szCs w:val="24"/>
        </w:rPr>
        <w:t>.</w:t>
      </w:r>
    </w:p>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15. Deferred tax assets</w:t>
      </w:r>
    </w:p>
    <w:tbl>
      <w:tblPr>
        <w:tblW w:w="9276" w:type="dxa"/>
        <w:tblInd w:w="-374" w:type="dxa"/>
        <w:tblLayout w:type="fixed"/>
        <w:tblLook w:val="04A0" w:firstRow="1" w:lastRow="0" w:firstColumn="1" w:lastColumn="0" w:noHBand="0" w:noVBand="1"/>
      </w:tblPr>
      <w:tblGrid>
        <w:gridCol w:w="1938"/>
        <w:gridCol w:w="2094"/>
        <w:gridCol w:w="1617"/>
        <w:gridCol w:w="1914"/>
        <w:gridCol w:w="1713"/>
      </w:tblGrid>
      <w:tr w:rsidR="000B609E">
        <w:trPr>
          <w:trHeight w:val="319"/>
        </w:trPr>
        <w:tc>
          <w:tcPr>
            <w:tcW w:w="1938" w:type="dxa"/>
            <w:vMerge w:val="restart"/>
            <w:tcBorders>
              <w:top w:val="double" w:sz="4" w:space="0" w:color="auto"/>
              <w:bottom w:val="single" w:sz="4" w:space="0" w:color="000000"/>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7338" w:type="dxa"/>
            <w:gridSpan w:val="4"/>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r>
      <w:tr w:rsidR="000B609E">
        <w:trPr>
          <w:trHeight w:val="354"/>
        </w:trPr>
        <w:tc>
          <w:tcPr>
            <w:tcW w:w="1938" w:type="dxa"/>
            <w:vMerge/>
            <w:tcBorders>
              <w:top w:val="single" w:sz="4" w:space="0" w:color="auto"/>
              <w:bottom w:val="single" w:sz="4" w:space="0" w:color="000000"/>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3711" w:type="dxa"/>
            <w:gridSpan w:val="2"/>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3627" w:type="dxa"/>
            <w:gridSpan w:val="2"/>
            <w:tcBorders>
              <w:top w:val="sing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r>
      <w:tr w:rsidR="000B609E">
        <w:trPr>
          <w:trHeight w:val="319"/>
        </w:trPr>
        <w:tc>
          <w:tcPr>
            <w:tcW w:w="1938" w:type="dxa"/>
            <w:vMerge/>
            <w:tcBorders>
              <w:top w:val="single" w:sz="4" w:space="0" w:color="auto"/>
              <w:bottom w:val="single" w:sz="4" w:space="0" w:color="000000"/>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209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Deductible temporary</w:t>
            </w:r>
          </w:p>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differences</w:t>
            </w:r>
          </w:p>
        </w:tc>
        <w:tc>
          <w:tcPr>
            <w:tcW w:w="161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Deferred tax</w:t>
            </w:r>
          </w:p>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assets/(liabilities)</w:t>
            </w:r>
          </w:p>
        </w:tc>
        <w:tc>
          <w:tcPr>
            <w:tcW w:w="191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Deductible temporary</w:t>
            </w:r>
          </w:p>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differences</w:t>
            </w:r>
          </w:p>
        </w:tc>
        <w:tc>
          <w:tcPr>
            <w:tcW w:w="1713"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Deferred tax</w:t>
            </w:r>
          </w:p>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assets/(liabilities)</w:t>
            </w:r>
          </w:p>
        </w:tc>
      </w:tr>
      <w:tr w:rsidR="000B609E">
        <w:trPr>
          <w:trHeight w:hRule="exact" w:val="907"/>
        </w:trPr>
        <w:tc>
          <w:tcPr>
            <w:tcW w:w="193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Provision for asset impairments</w:t>
            </w:r>
          </w:p>
        </w:tc>
        <w:tc>
          <w:tcPr>
            <w:tcW w:w="209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2,923,773,818.80</w:t>
            </w:r>
          </w:p>
        </w:tc>
        <w:tc>
          <w:tcPr>
            <w:tcW w:w="161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730,943,454.71</w:t>
            </w:r>
          </w:p>
        </w:tc>
        <w:tc>
          <w:tcPr>
            <w:tcW w:w="191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2,788,339,915.66</w:t>
            </w:r>
          </w:p>
        </w:tc>
        <w:tc>
          <w:tcPr>
            <w:tcW w:w="1713"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697,084,978.92</w:t>
            </w:r>
          </w:p>
        </w:tc>
      </w:tr>
      <w:tr w:rsidR="000B609E">
        <w:trPr>
          <w:trHeight w:hRule="exact" w:val="907"/>
        </w:trPr>
        <w:tc>
          <w:tcPr>
            <w:tcW w:w="193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Other temporary differences</w:t>
            </w:r>
          </w:p>
        </w:tc>
        <w:tc>
          <w:tcPr>
            <w:tcW w:w="209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123,525,274.28</w:t>
            </w:r>
          </w:p>
        </w:tc>
        <w:tc>
          <w:tcPr>
            <w:tcW w:w="161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hAnsi="Arial Narrow"/>
                <w:color w:val="000000"/>
                <w:sz w:val="20"/>
                <w:szCs w:val="20"/>
              </w:rPr>
              <w:t>30,881,318.57</w:t>
            </w:r>
          </w:p>
        </w:tc>
        <w:tc>
          <w:tcPr>
            <w:tcW w:w="191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102,331,442.64</w:t>
            </w:r>
          </w:p>
        </w:tc>
        <w:tc>
          <w:tcPr>
            <w:tcW w:w="1713"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rPr>
            </w:pPr>
            <w:r>
              <w:rPr>
                <w:rFonts w:ascii="Arial Narrow" w:eastAsia="宋体" w:hAnsi="Arial Narrow" w:cs="Arial Narrow" w:hint="eastAsia"/>
                <w:snapToGrid w:val="0"/>
                <w:kern w:val="0"/>
                <w:sz w:val="20"/>
                <w:szCs w:val="20"/>
              </w:rPr>
              <w:t>25,582,860.66</w:t>
            </w:r>
          </w:p>
        </w:tc>
      </w:tr>
      <w:tr w:rsidR="000B609E">
        <w:trPr>
          <w:trHeight w:hRule="exact" w:val="454"/>
        </w:trPr>
        <w:tc>
          <w:tcPr>
            <w:tcW w:w="1938"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209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sz w:val="20"/>
                <w:szCs w:val="20"/>
              </w:rPr>
              <w:t>3,047,299,093.08</w:t>
            </w:r>
          </w:p>
        </w:tc>
        <w:tc>
          <w:tcPr>
            <w:tcW w:w="1617"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hAnsi="Arial Narrow"/>
                <w:b/>
                <w:bCs/>
                <w:color w:val="000000"/>
                <w:sz w:val="20"/>
                <w:szCs w:val="20"/>
              </w:rPr>
              <w:t>761,824,773.28</w:t>
            </w:r>
          </w:p>
        </w:tc>
        <w:tc>
          <w:tcPr>
            <w:tcW w:w="191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rPr>
              <w:t>2,890,671,358.30</w:t>
            </w:r>
          </w:p>
        </w:tc>
        <w:tc>
          <w:tcPr>
            <w:tcW w:w="1713"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lang w:val="en-GB"/>
              </w:rPr>
            </w:pPr>
            <w:r>
              <w:rPr>
                <w:rFonts w:ascii="Arial Narrow" w:eastAsia="宋体" w:hAnsi="Arial Narrow" w:cs="Arial Narrow" w:hint="eastAsia"/>
                <w:b/>
                <w:bCs/>
                <w:snapToGrid w:val="0"/>
                <w:kern w:val="0"/>
                <w:sz w:val="20"/>
                <w:szCs w:val="20"/>
              </w:rPr>
              <w:t>722,667,839.58</w:t>
            </w:r>
          </w:p>
        </w:tc>
      </w:tr>
    </w:tbl>
    <w:p w:rsidR="000B609E" w:rsidRDefault="000B609E">
      <w:pPr>
        <w:spacing w:after="156" w:line="360" w:lineRule="auto"/>
        <w:ind w:left="720" w:firstLine="480"/>
        <w:rPr>
          <w:rFonts w:ascii="Times New Roman" w:hAnsi="Times New Roman" w:cs="Times New Roman"/>
          <w:sz w:val="24"/>
          <w:szCs w:val="24"/>
        </w:rPr>
      </w:pPr>
    </w:p>
    <w:tbl>
      <w:tblPr>
        <w:tblW w:w="9252" w:type="dxa"/>
        <w:tblInd w:w="-363" w:type="dxa"/>
        <w:tblLayout w:type="fixed"/>
        <w:tblLook w:val="04A0" w:firstRow="1" w:lastRow="0" w:firstColumn="1" w:lastColumn="0" w:noHBand="0" w:noVBand="1"/>
      </w:tblPr>
      <w:tblGrid>
        <w:gridCol w:w="1932"/>
        <w:gridCol w:w="2109"/>
        <w:gridCol w:w="1587"/>
        <w:gridCol w:w="1896"/>
        <w:gridCol w:w="1728"/>
      </w:tblGrid>
      <w:tr w:rsidR="000B609E">
        <w:trPr>
          <w:trHeight w:val="319"/>
          <w:tblHeader/>
        </w:trPr>
        <w:tc>
          <w:tcPr>
            <w:tcW w:w="1932" w:type="dxa"/>
            <w:vMerge w:val="restart"/>
            <w:tcBorders>
              <w:top w:val="double" w:sz="4" w:space="0" w:color="auto"/>
              <w:bottom w:val="single" w:sz="4" w:space="0" w:color="000000"/>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7320" w:type="dxa"/>
            <w:gridSpan w:val="4"/>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54"/>
          <w:tblHeader/>
        </w:trPr>
        <w:tc>
          <w:tcPr>
            <w:tcW w:w="1932" w:type="dxa"/>
            <w:vMerge/>
            <w:tcBorders>
              <w:top w:val="single" w:sz="4" w:space="0" w:color="auto"/>
              <w:bottom w:val="single" w:sz="4" w:space="0" w:color="000000"/>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3696" w:type="dxa"/>
            <w:gridSpan w:val="2"/>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3624" w:type="dxa"/>
            <w:gridSpan w:val="2"/>
            <w:tcBorders>
              <w:top w:val="sing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r>
      <w:tr w:rsidR="000B609E">
        <w:trPr>
          <w:trHeight w:val="319"/>
          <w:tblHeader/>
        </w:trPr>
        <w:tc>
          <w:tcPr>
            <w:tcW w:w="1932" w:type="dxa"/>
            <w:vMerge/>
            <w:tcBorders>
              <w:top w:val="single" w:sz="4" w:space="0" w:color="auto"/>
              <w:bottom w:val="single" w:sz="4" w:space="0" w:color="000000"/>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210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Deductible temporary</w:t>
            </w:r>
          </w:p>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differences</w:t>
            </w:r>
          </w:p>
        </w:tc>
        <w:tc>
          <w:tcPr>
            <w:tcW w:w="158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Deferred tax</w:t>
            </w:r>
          </w:p>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assets/(liabilities)</w:t>
            </w:r>
          </w:p>
        </w:tc>
        <w:tc>
          <w:tcPr>
            <w:tcW w:w="18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Deductible temporary</w:t>
            </w:r>
          </w:p>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differences</w:t>
            </w:r>
          </w:p>
        </w:tc>
        <w:tc>
          <w:tcPr>
            <w:tcW w:w="172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Deferred tax</w:t>
            </w:r>
          </w:p>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assets/(liabilities)</w:t>
            </w:r>
          </w:p>
        </w:tc>
      </w:tr>
      <w:tr w:rsidR="000B609E">
        <w:trPr>
          <w:trHeight w:hRule="exact" w:val="907"/>
        </w:trPr>
        <w:tc>
          <w:tcPr>
            <w:tcW w:w="193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Provision for asset impairments</w:t>
            </w:r>
          </w:p>
        </w:tc>
        <w:tc>
          <w:tcPr>
            <w:tcW w:w="210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2,913,365,877.70</w:t>
            </w:r>
          </w:p>
        </w:tc>
        <w:tc>
          <w:tcPr>
            <w:tcW w:w="158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728,341,469.43</w:t>
            </w:r>
          </w:p>
        </w:tc>
        <w:tc>
          <w:tcPr>
            <w:tcW w:w="18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2,774,968,512.64</w:t>
            </w:r>
          </w:p>
        </w:tc>
        <w:tc>
          <w:tcPr>
            <w:tcW w:w="172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693,742,128.16</w:t>
            </w:r>
          </w:p>
        </w:tc>
      </w:tr>
      <w:tr w:rsidR="000B609E">
        <w:trPr>
          <w:trHeight w:hRule="exact" w:val="907"/>
        </w:trPr>
        <w:tc>
          <w:tcPr>
            <w:tcW w:w="193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Other temporary differences</w:t>
            </w:r>
          </w:p>
        </w:tc>
        <w:tc>
          <w:tcPr>
            <w:tcW w:w="210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123,525,274.28</w:t>
            </w:r>
          </w:p>
        </w:tc>
        <w:tc>
          <w:tcPr>
            <w:tcW w:w="158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30,881,318.57</w:t>
            </w:r>
          </w:p>
        </w:tc>
        <w:tc>
          <w:tcPr>
            <w:tcW w:w="18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102,331,442.64</w:t>
            </w:r>
          </w:p>
        </w:tc>
        <w:tc>
          <w:tcPr>
            <w:tcW w:w="172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25,582,860.66</w:t>
            </w:r>
          </w:p>
        </w:tc>
      </w:tr>
      <w:tr w:rsidR="000B609E">
        <w:trPr>
          <w:trHeight w:hRule="exact" w:val="454"/>
        </w:trPr>
        <w:tc>
          <w:tcPr>
            <w:tcW w:w="1932"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2109"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3,036,891,151.98</w:t>
            </w:r>
          </w:p>
        </w:tc>
        <w:tc>
          <w:tcPr>
            <w:tcW w:w="1587"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759,222,788.00</w:t>
            </w:r>
          </w:p>
        </w:tc>
        <w:tc>
          <w:tcPr>
            <w:tcW w:w="1896"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2,877,299,955.28</w:t>
            </w:r>
          </w:p>
        </w:tc>
        <w:tc>
          <w:tcPr>
            <w:tcW w:w="1728"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719,324,988.82</w:t>
            </w:r>
          </w:p>
        </w:tc>
      </w:tr>
    </w:tbl>
    <w:p w:rsidR="000B609E" w:rsidRDefault="00B220E1">
      <w:pPr>
        <w:spacing w:beforeLines="50" w:before="156" w:afterLines="0" w:line="360" w:lineRule="auto"/>
        <w:ind w:firstLine="480"/>
        <w:rPr>
          <w:rFonts w:ascii="Times New Roman" w:hAnsi="Times New Roman" w:cs="Times New Roman"/>
          <w:sz w:val="24"/>
          <w:szCs w:val="24"/>
        </w:rPr>
      </w:pPr>
      <w:proofErr w:type="spellStart"/>
      <w:proofErr w:type="gramStart"/>
      <w:r>
        <w:rPr>
          <w:rFonts w:ascii="Times New Roman" w:hAnsi="Times New Roman" w:cs="Times New Roman" w:hint="eastAsia"/>
          <w:sz w:val="24"/>
          <w:szCs w:val="24"/>
        </w:rPr>
        <w:lastRenderedPageBreak/>
        <w:t>Note:</w:t>
      </w:r>
      <w:r>
        <w:rPr>
          <w:rFonts w:ascii="Times New Roman" w:hAnsi="Times New Roman" w:cs="Times New Roman"/>
          <w:sz w:val="24"/>
          <w:szCs w:val="24"/>
        </w:rPr>
        <w:t>On</w:t>
      </w:r>
      <w:proofErr w:type="spellEnd"/>
      <w:proofErr w:type="gramEnd"/>
      <w:r>
        <w:rPr>
          <w:rFonts w:ascii="Times New Roman" w:hAnsi="Times New Roman" w:cs="Times New Roman"/>
          <w:sz w:val="24"/>
          <w:szCs w:val="24"/>
        </w:rPr>
        <w:t xml:space="preserve"> the balance sheet date, the Group believes</w:t>
      </w:r>
      <w:r>
        <w:rPr>
          <w:rFonts w:ascii="Times New Roman" w:hAnsi="Times New Roman" w:cs="Times New Roman" w:hint="eastAsia"/>
          <w:sz w:val="24"/>
          <w:szCs w:val="24"/>
        </w:rPr>
        <w:t xml:space="preserve"> it can</w:t>
      </w:r>
      <w:r>
        <w:rPr>
          <w:rFonts w:ascii="Times New Roman" w:hAnsi="Times New Roman" w:cs="Times New Roman"/>
          <w:sz w:val="24"/>
          <w:szCs w:val="24"/>
        </w:rPr>
        <w:t xml:space="preserve"> obtain sufficient taxable income in the future period for the use of deductible temporary differences</w:t>
      </w:r>
      <w:r>
        <w:rPr>
          <w:rFonts w:ascii="Times New Roman" w:hAnsi="Times New Roman" w:cs="Times New Roman" w:hint="eastAsia"/>
          <w:sz w:val="24"/>
          <w:szCs w:val="24"/>
        </w:rPr>
        <w:t>. T</w:t>
      </w:r>
      <w:r>
        <w:rPr>
          <w:rFonts w:ascii="Times New Roman" w:hAnsi="Times New Roman" w:cs="Times New Roman"/>
          <w:sz w:val="24"/>
          <w:szCs w:val="24"/>
        </w:rPr>
        <w:t>herefore</w:t>
      </w:r>
      <w:r>
        <w:rPr>
          <w:rFonts w:ascii="Times New Roman" w:hAnsi="Times New Roman" w:cs="Times New Roman" w:hint="eastAsia"/>
          <w:sz w:val="24"/>
          <w:szCs w:val="24"/>
        </w:rPr>
        <w:t>,</w:t>
      </w:r>
      <w:r>
        <w:rPr>
          <w:rFonts w:ascii="Times New Roman" w:hAnsi="Times New Roman" w:cs="Times New Roman"/>
          <w:sz w:val="24"/>
          <w:szCs w:val="24"/>
        </w:rPr>
        <w:t xml:space="preserve"> the related deferred income tax assets</w:t>
      </w:r>
      <w:r>
        <w:rPr>
          <w:rFonts w:ascii="Times New Roman" w:hAnsi="Times New Roman" w:cs="Times New Roman" w:hint="eastAsia"/>
          <w:sz w:val="24"/>
          <w:szCs w:val="24"/>
        </w:rPr>
        <w:t xml:space="preserve"> are</w:t>
      </w:r>
      <w:r>
        <w:t xml:space="preserve"> </w:t>
      </w:r>
      <w:r>
        <w:rPr>
          <w:rFonts w:ascii="Times New Roman" w:hAnsi="Times New Roman" w:cs="Times New Roman"/>
          <w:sz w:val="24"/>
          <w:szCs w:val="24"/>
        </w:rPr>
        <w:t>recognized.</w:t>
      </w:r>
    </w:p>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16. Other assets</w:t>
      </w:r>
    </w:p>
    <w:p w:rsidR="000B609E" w:rsidRDefault="00B220E1">
      <w:pPr>
        <w:pStyle w:val="11"/>
        <w:numPr>
          <w:ilvl w:val="0"/>
          <w:numId w:val="28"/>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hint="eastAsia"/>
          <w:sz w:val="24"/>
          <w:szCs w:val="24"/>
        </w:rPr>
        <w:t xml:space="preserve">lassification of </w:t>
      </w:r>
      <w:proofErr w:type="gramStart"/>
      <w:r>
        <w:rPr>
          <w:rFonts w:ascii="Times New Roman" w:hAnsi="Times New Roman" w:cs="Times New Roman" w:hint="eastAsia"/>
          <w:sz w:val="24"/>
          <w:szCs w:val="24"/>
        </w:rPr>
        <w:t>other</w:t>
      </w:r>
      <w:proofErr w:type="gramEnd"/>
      <w:r>
        <w:rPr>
          <w:rFonts w:ascii="Times New Roman" w:hAnsi="Times New Roman" w:cs="Times New Roman" w:hint="eastAsia"/>
          <w:sz w:val="24"/>
          <w:szCs w:val="24"/>
        </w:rPr>
        <w:t xml:space="preserve"> asset</w:t>
      </w:r>
    </w:p>
    <w:tbl>
      <w:tblPr>
        <w:tblW w:w="9228" w:type="dxa"/>
        <w:tblInd w:w="-351" w:type="dxa"/>
        <w:tblLayout w:type="fixed"/>
        <w:tblLook w:val="04A0" w:firstRow="1" w:lastRow="0" w:firstColumn="1" w:lastColumn="0" w:noHBand="0" w:noVBand="1"/>
      </w:tblPr>
      <w:tblGrid>
        <w:gridCol w:w="1487"/>
        <w:gridCol w:w="1789"/>
        <w:gridCol w:w="1754"/>
        <w:gridCol w:w="2074"/>
        <w:gridCol w:w="2124"/>
      </w:tblGrid>
      <w:tr w:rsidR="000B609E">
        <w:trPr>
          <w:trHeight w:val="296"/>
          <w:tblHeader/>
        </w:trPr>
        <w:tc>
          <w:tcPr>
            <w:tcW w:w="1487"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543"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4198"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29"/>
          <w:tblHeader/>
        </w:trPr>
        <w:tc>
          <w:tcPr>
            <w:tcW w:w="1487"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78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7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207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2124"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r>
      <w:tr w:rsidR="000B609E">
        <w:trPr>
          <w:trHeight w:hRule="exact" w:val="454"/>
        </w:trPr>
        <w:tc>
          <w:tcPr>
            <w:tcW w:w="148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Other receivables</w:t>
            </w:r>
          </w:p>
        </w:tc>
        <w:tc>
          <w:tcPr>
            <w:tcW w:w="178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20,219,877.06</w:t>
            </w:r>
          </w:p>
        </w:tc>
        <w:tc>
          <w:tcPr>
            <w:tcW w:w="17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12,369,936.90 </w:t>
            </w:r>
          </w:p>
        </w:tc>
        <w:tc>
          <w:tcPr>
            <w:tcW w:w="207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19,915,996.49</w:t>
            </w:r>
          </w:p>
        </w:tc>
        <w:tc>
          <w:tcPr>
            <w:tcW w:w="212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11,584,120.69 </w:t>
            </w:r>
          </w:p>
        </w:tc>
      </w:tr>
      <w:tr w:rsidR="000B609E">
        <w:trPr>
          <w:trHeight w:hRule="exact" w:val="907"/>
        </w:trPr>
        <w:tc>
          <w:tcPr>
            <w:tcW w:w="148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Interest receivable</w:t>
            </w:r>
          </w:p>
        </w:tc>
        <w:tc>
          <w:tcPr>
            <w:tcW w:w="178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467,860.37</w:t>
            </w:r>
          </w:p>
        </w:tc>
        <w:tc>
          <w:tcPr>
            <w:tcW w:w="17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675,772.37 </w:t>
            </w:r>
          </w:p>
        </w:tc>
        <w:tc>
          <w:tcPr>
            <w:tcW w:w="207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448,314.68</w:t>
            </w:r>
          </w:p>
        </w:tc>
        <w:tc>
          <w:tcPr>
            <w:tcW w:w="212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675,772.37 </w:t>
            </w:r>
          </w:p>
        </w:tc>
      </w:tr>
      <w:tr w:rsidR="000B609E">
        <w:trPr>
          <w:trHeight w:hRule="exact" w:val="1361"/>
        </w:trPr>
        <w:tc>
          <w:tcPr>
            <w:tcW w:w="148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Long-term deferred expenses</w:t>
            </w:r>
          </w:p>
        </w:tc>
        <w:tc>
          <w:tcPr>
            <w:tcW w:w="178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8,709,520.13</w:t>
            </w:r>
          </w:p>
        </w:tc>
        <w:tc>
          <w:tcPr>
            <w:tcW w:w="17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13,390,498.04 </w:t>
            </w:r>
          </w:p>
        </w:tc>
        <w:tc>
          <w:tcPr>
            <w:tcW w:w="207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8,145,803.04</w:t>
            </w:r>
          </w:p>
        </w:tc>
        <w:tc>
          <w:tcPr>
            <w:tcW w:w="212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13,240,000.00 </w:t>
            </w:r>
          </w:p>
        </w:tc>
      </w:tr>
      <w:tr w:rsidR="000B609E">
        <w:trPr>
          <w:trHeight w:hRule="exact" w:val="454"/>
        </w:trPr>
        <w:tc>
          <w:tcPr>
            <w:tcW w:w="148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Other</w:t>
            </w:r>
          </w:p>
        </w:tc>
        <w:tc>
          <w:tcPr>
            <w:tcW w:w="178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274,205.53</w:t>
            </w:r>
          </w:p>
        </w:tc>
        <w:tc>
          <w:tcPr>
            <w:tcW w:w="17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274,205.53 </w:t>
            </w:r>
          </w:p>
        </w:tc>
        <w:tc>
          <w:tcPr>
            <w:tcW w:w="207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274,205.53</w:t>
            </w:r>
          </w:p>
        </w:tc>
        <w:tc>
          <w:tcPr>
            <w:tcW w:w="212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274,205.53 </w:t>
            </w:r>
          </w:p>
        </w:tc>
      </w:tr>
      <w:tr w:rsidR="000B609E">
        <w:trPr>
          <w:trHeight w:hRule="exact" w:val="454"/>
        </w:trPr>
        <w:tc>
          <w:tcPr>
            <w:tcW w:w="1487" w:type="dxa"/>
            <w:tcBorders>
              <w:top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361"/>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789"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29,671,463.09</w:t>
            </w:r>
          </w:p>
        </w:tc>
        <w:tc>
          <w:tcPr>
            <w:tcW w:w="1754"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26,710,412.84 </w:t>
            </w:r>
          </w:p>
        </w:tc>
        <w:tc>
          <w:tcPr>
            <w:tcW w:w="2074"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28,784,319.74</w:t>
            </w:r>
          </w:p>
        </w:tc>
        <w:tc>
          <w:tcPr>
            <w:tcW w:w="2124" w:type="dxa"/>
            <w:tcBorders>
              <w:top w:val="single" w:sz="4" w:space="0" w:color="auto"/>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25,774,098.59 </w:t>
            </w:r>
          </w:p>
        </w:tc>
      </w:tr>
    </w:tbl>
    <w:p w:rsidR="000B609E" w:rsidRDefault="00B220E1">
      <w:pPr>
        <w:pStyle w:val="11"/>
        <w:numPr>
          <w:ilvl w:val="0"/>
          <w:numId w:val="28"/>
        </w:numPr>
        <w:spacing w:beforeLines="50" w:before="156" w:afterLines="0" w:line="360" w:lineRule="auto"/>
        <w:ind w:left="0" w:firstLine="480"/>
        <w:rPr>
          <w:rFonts w:ascii="Times New Roman" w:hAnsi="Times New Roman" w:cs="Times New Roman"/>
          <w:sz w:val="24"/>
          <w:szCs w:val="24"/>
        </w:rPr>
      </w:pPr>
      <w:r>
        <w:rPr>
          <w:rFonts w:ascii="Times New Roman" w:hAnsi="Times New Roman" w:cs="Times New Roman"/>
          <w:sz w:val="24"/>
          <w:szCs w:val="24"/>
        </w:rPr>
        <w:t>Other receivables</w:t>
      </w:r>
    </w:p>
    <w:p w:rsidR="000B609E" w:rsidRDefault="00B220E1">
      <w:pPr>
        <w:pStyle w:val="11"/>
        <w:numPr>
          <w:ilvl w:val="0"/>
          <w:numId w:val="29"/>
        </w:numPr>
        <w:spacing w:after="156"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Balance details</w:t>
      </w:r>
    </w:p>
    <w:tbl>
      <w:tblPr>
        <w:tblW w:w="9216" w:type="dxa"/>
        <w:tblInd w:w="-351" w:type="dxa"/>
        <w:tblBorders>
          <w:top w:val="double" w:sz="4" w:space="0" w:color="auto"/>
          <w:left w:val="double" w:sz="4" w:space="0" w:color="FFFFFF" w:themeColor="background1"/>
          <w:bottom w:val="double" w:sz="4" w:space="0" w:color="auto"/>
          <w:right w:val="double" w:sz="4" w:space="0" w:color="FFFFFF" w:themeColor="background1"/>
          <w:insideH w:val="single" w:sz="4" w:space="0" w:color="auto"/>
          <w:insideV w:val="single" w:sz="4" w:space="0" w:color="auto"/>
        </w:tblBorders>
        <w:tblLayout w:type="fixed"/>
        <w:tblLook w:val="04A0" w:firstRow="1" w:lastRow="0" w:firstColumn="1" w:lastColumn="0" w:noHBand="0" w:noVBand="1"/>
      </w:tblPr>
      <w:tblGrid>
        <w:gridCol w:w="2455"/>
        <w:gridCol w:w="1700"/>
        <w:gridCol w:w="1522"/>
        <w:gridCol w:w="1595"/>
        <w:gridCol w:w="1944"/>
      </w:tblGrid>
      <w:tr w:rsidR="000B609E">
        <w:tc>
          <w:tcPr>
            <w:tcW w:w="2455" w:type="dxa"/>
            <w:vMerge w:val="restart"/>
            <w:tcBorders>
              <w:tl2br w:val="nil"/>
              <w:tr2bl w:val="nil"/>
            </w:tcBorders>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I</w:t>
            </w:r>
            <w:r>
              <w:rPr>
                <w:rFonts w:ascii="Times New Roman" w:hAnsi="Times New Roman" w:cs="Times New Roman"/>
                <w:b/>
                <w:sz w:val="18"/>
                <w:szCs w:val="18"/>
              </w:rPr>
              <w:t>tems</w:t>
            </w:r>
          </w:p>
        </w:tc>
        <w:tc>
          <w:tcPr>
            <w:tcW w:w="3222" w:type="dxa"/>
            <w:gridSpan w:val="2"/>
            <w:tcBorders>
              <w:tl2br w:val="nil"/>
              <w:tr2bl w:val="nil"/>
            </w:tcBorders>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G</w:t>
            </w:r>
            <w:r>
              <w:rPr>
                <w:rFonts w:ascii="Times New Roman" w:hAnsi="Times New Roman" w:cs="Times New Roman"/>
                <w:b/>
                <w:sz w:val="18"/>
                <w:szCs w:val="18"/>
              </w:rPr>
              <w:t>roup</w:t>
            </w:r>
          </w:p>
        </w:tc>
        <w:tc>
          <w:tcPr>
            <w:tcW w:w="3539" w:type="dxa"/>
            <w:gridSpan w:val="2"/>
            <w:tcBorders>
              <w:tl2br w:val="nil"/>
              <w:tr2bl w:val="nil"/>
            </w:tcBorders>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B</w:t>
            </w:r>
            <w:r>
              <w:rPr>
                <w:rFonts w:ascii="Times New Roman" w:hAnsi="Times New Roman" w:cs="Times New Roman"/>
                <w:b/>
                <w:sz w:val="18"/>
                <w:szCs w:val="18"/>
              </w:rPr>
              <w:t>ank</w:t>
            </w:r>
          </w:p>
        </w:tc>
      </w:tr>
      <w:tr w:rsidR="000B609E">
        <w:tc>
          <w:tcPr>
            <w:tcW w:w="2455" w:type="dxa"/>
            <w:vMerge/>
            <w:tcBorders>
              <w:tl2br w:val="nil"/>
              <w:tr2bl w:val="nil"/>
            </w:tcBorders>
            <w:vAlign w:val="center"/>
          </w:tcPr>
          <w:p w:rsidR="000B609E" w:rsidRDefault="000B609E">
            <w:pPr>
              <w:pStyle w:val="11"/>
              <w:spacing w:afterLines="0" w:after="0"/>
              <w:ind w:firstLineChars="0" w:firstLine="0"/>
              <w:jc w:val="center"/>
              <w:rPr>
                <w:rFonts w:ascii="Times New Roman" w:hAnsi="Times New Roman" w:cs="Times New Roman"/>
                <w:b/>
                <w:sz w:val="18"/>
                <w:szCs w:val="18"/>
              </w:rPr>
            </w:pPr>
          </w:p>
        </w:tc>
        <w:tc>
          <w:tcPr>
            <w:tcW w:w="1700" w:type="dxa"/>
            <w:tcBorders>
              <w:tl2br w:val="nil"/>
              <w:tr2bl w:val="nil"/>
            </w:tcBorders>
            <w:vAlign w:val="center"/>
          </w:tcPr>
          <w:p w:rsidR="000B609E" w:rsidRDefault="00B220E1">
            <w:pPr>
              <w:pStyle w:val="11"/>
              <w:spacing w:afterLines="0" w:after="0"/>
              <w:ind w:firstLineChars="0" w:firstLine="0"/>
              <w:jc w:val="center"/>
              <w:rPr>
                <w:rFonts w:ascii="Times New Roman" w:hAnsi="Times New Roman" w:cs="Times New Roman"/>
                <w:b/>
                <w:bCs/>
                <w:sz w:val="18"/>
                <w:szCs w:val="18"/>
              </w:rPr>
            </w:pPr>
            <w:r>
              <w:rPr>
                <w:rFonts w:ascii="Times New Roman" w:hAnsi="Times New Roman" w:cs="Times New Roman" w:hint="eastAsia"/>
                <w:b/>
                <w:bCs/>
                <w:sz w:val="18"/>
                <w:szCs w:val="18"/>
              </w:rPr>
              <w:t>2</w:t>
            </w:r>
            <w:r>
              <w:rPr>
                <w:rFonts w:ascii="Times New Roman" w:hAnsi="Times New Roman" w:cs="Times New Roman"/>
                <w:b/>
                <w:bCs/>
                <w:sz w:val="18"/>
                <w:szCs w:val="18"/>
              </w:rPr>
              <w:t>0</w:t>
            </w:r>
            <w:r>
              <w:rPr>
                <w:rFonts w:ascii="Times New Roman" w:hAnsi="Times New Roman" w:cs="Times New Roman" w:hint="eastAsia"/>
                <w:b/>
                <w:bCs/>
                <w:sz w:val="18"/>
                <w:szCs w:val="18"/>
              </w:rPr>
              <w:t>20</w:t>
            </w:r>
            <w:r>
              <w:rPr>
                <w:rFonts w:ascii="Times New Roman" w:hAnsi="Times New Roman" w:cs="Times New Roman"/>
                <w:b/>
                <w:bCs/>
                <w:sz w:val="18"/>
                <w:szCs w:val="18"/>
              </w:rPr>
              <w:t>-12-31</w:t>
            </w:r>
          </w:p>
        </w:tc>
        <w:tc>
          <w:tcPr>
            <w:tcW w:w="1522" w:type="dxa"/>
            <w:tcBorders>
              <w:tl2br w:val="nil"/>
              <w:tr2bl w:val="nil"/>
            </w:tcBorders>
            <w:vAlign w:val="center"/>
          </w:tcPr>
          <w:p w:rsidR="000B609E" w:rsidRDefault="00B220E1">
            <w:pPr>
              <w:pStyle w:val="11"/>
              <w:spacing w:afterLines="0" w:after="0"/>
              <w:ind w:firstLineChars="0" w:firstLine="0"/>
              <w:jc w:val="center"/>
              <w:rPr>
                <w:rFonts w:ascii="Times New Roman" w:hAnsi="Times New Roman" w:cs="Times New Roman"/>
                <w:b/>
                <w:bCs/>
                <w:sz w:val="18"/>
                <w:szCs w:val="18"/>
              </w:rPr>
            </w:pPr>
            <w:r>
              <w:rPr>
                <w:rFonts w:ascii="Times New Roman" w:hAnsi="Times New Roman" w:cs="Times New Roman" w:hint="eastAsia"/>
                <w:b/>
                <w:bCs/>
                <w:sz w:val="18"/>
                <w:szCs w:val="18"/>
              </w:rPr>
              <w:t>2</w:t>
            </w:r>
            <w:r>
              <w:rPr>
                <w:rFonts w:ascii="Times New Roman" w:hAnsi="Times New Roman" w:cs="Times New Roman"/>
                <w:b/>
                <w:bCs/>
                <w:sz w:val="18"/>
                <w:szCs w:val="18"/>
              </w:rPr>
              <w:t>01</w:t>
            </w:r>
            <w:r>
              <w:rPr>
                <w:rFonts w:ascii="Times New Roman" w:hAnsi="Times New Roman" w:cs="Times New Roman" w:hint="eastAsia"/>
                <w:b/>
                <w:bCs/>
                <w:sz w:val="18"/>
                <w:szCs w:val="18"/>
              </w:rPr>
              <w:t>9</w:t>
            </w:r>
            <w:r>
              <w:rPr>
                <w:rFonts w:ascii="Times New Roman" w:hAnsi="Times New Roman" w:cs="Times New Roman"/>
                <w:b/>
                <w:bCs/>
                <w:sz w:val="18"/>
                <w:szCs w:val="18"/>
              </w:rPr>
              <w:t>-12-31</w:t>
            </w:r>
          </w:p>
        </w:tc>
        <w:tc>
          <w:tcPr>
            <w:tcW w:w="1595" w:type="dxa"/>
            <w:tcBorders>
              <w:tl2br w:val="nil"/>
              <w:tr2bl w:val="nil"/>
            </w:tcBorders>
            <w:vAlign w:val="center"/>
          </w:tcPr>
          <w:p w:rsidR="000B609E" w:rsidRDefault="00B220E1">
            <w:pPr>
              <w:pStyle w:val="11"/>
              <w:spacing w:afterLines="0" w:after="0"/>
              <w:ind w:firstLineChars="0" w:firstLine="0"/>
              <w:jc w:val="center"/>
              <w:rPr>
                <w:rFonts w:ascii="Times New Roman" w:hAnsi="Times New Roman" w:cs="Times New Roman"/>
                <w:b/>
                <w:bCs/>
                <w:sz w:val="18"/>
                <w:szCs w:val="18"/>
              </w:rPr>
            </w:pPr>
            <w:r>
              <w:rPr>
                <w:rFonts w:ascii="Times New Roman" w:hAnsi="Times New Roman" w:cs="Times New Roman" w:hint="eastAsia"/>
                <w:b/>
                <w:bCs/>
                <w:sz w:val="18"/>
                <w:szCs w:val="18"/>
              </w:rPr>
              <w:t>2</w:t>
            </w:r>
            <w:r>
              <w:rPr>
                <w:rFonts w:ascii="Times New Roman" w:hAnsi="Times New Roman" w:cs="Times New Roman"/>
                <w:b/>
                <w:bCs/>
                <w:sz w:val="18"/>
                <w:szCs w:val="18"/>
              </w:rPr>
              <w:t>0</w:t>
            </w:r>
            <w:r>
              <w:rPr>
                <w:rFonts w:ascii="Times New Roman" w:hAnsi="Times New Roman" w:cs="Times New Roman" w:hint="eastAsia"/>
                <w:b/>
                <w:bCs/>
                <w:sz w:val="18"/>
                <w:szCs w:val="18"/>
              </w:rPr>
              <w:t>20</w:t>
            </w:r>
            <w:r>
              <w:rPr>
                <w:rFonts w:ascii="Times New Roman" w:hAnsi="Times New Roman" w:cs="Times New Roman"/>
                <w:b/>
                <w:bCs/>
                <w:sz w:val="18"/>
                <w:szCs w:val="18"/>
              </w:rPr>
              <w:t>-12-31</w:t>
            </w:r>
          </w:p>
        </w:tc>
        <w:tc>
          <w:tcPr>
            <w:tcW w:w="1944" w:type="dxa"/>
            <w:tcBorders>
              <w:tl2br w:val="nil"/>
              <w:tr2bl w:val="nil"/>
            </w:tcBorders>
            <w:vAlign w:val="center"/>
          </w:tcPr>
          <w:p w:rsidR="000B609E" w:rsidRDefault="00B220E1">
            <w:pPr>
              <w:pStyle w:val="11"/>
              <w:spacing w:afterLines="0" w:after="0"/>
              <w:ind w:firstLineChars="0" w:firstLine="0"/>
              <w:jc w:val="center"/>
              <w:rPr>
                <w:rFonts w:ascii="Times New Roman" w:hAnsi="Times New Roman" w:cs="Times New Roman"/>
                <w:b/>
                <w:bCs/>
                <w:sz w:val="18"/>
                <w:szCs w:val="18"/>
              </w:rPr>
            </w:pPr>
            <w:r>
              <w:rPr>
                <w:rFonts w:ascii="Times New Roman" w:hAnsi="Times New Roman" w:cs="Times New Roman" w:hint="eastAsia"/>
                <w:b/>
                <w:bCs/>
                <w:sz w:val="18"/>
                <w:szCs w:val="18"/>
              </w:rPr>
              <w:t>2</w:t>
            </w:r>
            <w:r>
              <w:rPr>
                <w:rFonts w:ascii="Times New Roman" w:hAnsi="Times New Roman" w:cs="Times New Roman"/>
                <w:b/>
                <w:bCs/>
                <w:sz w:val="18"/>
                <w:szCs w:val="18"/>
              </w:rPr>
              <w:t>01</w:t>
            </w:r>
            <w:r>
              <w:rPr>
                <w:rFonts w:ascii="Times New Roman" w:hAnsi="Times New Roman" w:cs="Times New Roman" w:hint="eastAsia"/>
                <w:b/>
                <w:bCs/>
                <w:sz w:val="18"/>
                <w:szCs w:val="18"/>
              </w:rPr>
              <w:t>9</w:t>
            </w:r>
            <w:r>
              <w:rPr>
                <w:rFonts w:ascii="Times New Roman" w:hAnsi="Times New Roman" w:cs="Times New Roman"/>
                <w:b/>
                <w:bCs/>
                <w:sz w:val="18"/>
                <w:szCs w:val="18"/>
              </w:rPr>
              <w:t>-12-31</w:t>
            </w:r>
          </w:p>
        </w:tc>
      </w:tr>
      <w:tr w:rsidR="000B609E">
        <w:trPr>
          <w:trHeight w:hRule="exact" w:val="447"/>
        </w:trPr>
        <w:tc>
          <w:tcPr>
            <w:tcW w:w="2455" w:type="dxa"/>
            <w:tcBorders>
              <w:tl2br w:val="nil"/>
              <w:tr2bl w:val="nil"/>
            </w:tcBorders>
            <w:vAlign w:val="center"/>
          </w:tcPr>
          <w:p w:rsidR="000B609E" w:rsidRDefault="00B220E1">
            <w:pPr>
              <w:pStyle w:val="11"/>
              <w:spacing w:afterLines="0" w:after="0"/>
              <w:ind w:firstLineChars="0" w:firstLine="0"/>
              <w:jc w:val="both"/>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eceivables and settlements</w:t>
            </w:r>
          </w:p>
        </w:tc>
        <w:tc>
          <w:tcPr>
            <w:tcW w:w="1700"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color w:val="000000"/>
                <w:sz w:val="20"/>
                <w:szCs w:val="20"/>
              </w:rPr>
              <w:t>18,433,349.18</w:t>
            </w:r>
          </w:p>
        </w:tc>
        <w:tc>
          <w:tcPr>
            <w:tcW w:w="1522"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10,110,991.91</w:t>
            </w:r>
          </w:p>
        </w:tc>
        <w:tc>
          <w:tcPr>
            <w:tcW w:w="1595"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color w:val="000000"/>
                <w:sz w:val="20"/>
                <w:szCs w:val="20"/>
              </w:rPr>
              <w:t>18,129,468.61</w:t>
            </w:r>
          </w:p>
        </w:tc>
        <w:tc>
          <w:tcPr>
            <w:tcW w:w="1944"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9,325,175.70</w:t>
            </w:r>
          </w:p>
        </w:tc>
      </w:tr>
      <w:tr w:rsidR="000B609E">
        <w:trPr>
          <w:trHeight w:hRule="exact" w:val="402"/>
        </w:trPr>
        <w:tc>
          <w:tcPr>
            <w:tcW w:w="2455" w:type="dxa"/>
            <w:tcBorders>
              <w:tl2br w:val="nil"/>
              <w:tr2bl w:val="nil"/>
            </w:tcBorders>
            <w:vAlign w:val="center"/>
          </w:tcPr>
          <w:p w:rsidR="000B609E" w:rsidRDefault="00B220E1">
            <w:pPr>
              <w:pStyle w:val="11"/>
              <w:spacing w:afterLines="0" w:after="0"/>
              <w:ind w:firstLineChars="0" w:firstLine="0"/>
              <w:jc w:val="both"/>
              <w:rPr>
                <w:rFonts w:ascii="Times New Roman" w:hAnsi="Times New Roman" w:cs="Times New Roman"/>
                <w:sz w:val="18"/>
                <w:szCs w:val="18"/>
              </w:rPr>
            </w:pPr>
            <w:r>
              <w:rPr>
                <w:rFonts w:ascii="Times New Roman" w:hAnsi="Times New Roman" w:cs="Times New Roman" w:hint="eastAsia"/>
                <w:sz w:val="18"/>
                <w:szCs w:val="18"/>
              </w:rPr>
              <w:t>A</w:t>
            </w:r>
            <w:r>
              <w:rPr>
                <w:rFonts w:ascii="Times New Roman" w:hAnsi="Times New Roman" w:cs="Times New Roman"/>
                <w:sz w:val="18"/>
                <w:szCs w:val="18"/>
              </w:rPr>
              <w:t>dvance litigation fee</w:t>
            </w:r>
          </w:p>
        </w:tc>
        <w:tc>
          <w:tcPr>
            <w:tcW w:w="1700"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color w:val="000000"/>
                <w:sz w:val="20"/>
                <w:szCs w:val="20"/>
              </w:rPr>
              <w:t>10,808,602.60</w:t>
            </w:r>
          </w:p>
        </w:tc>
        <w:tc>
          <w:tcPr>
            <w:tcW w:w="1522"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12,823,741.44</w:t>
            </w:r>
          </w:p>
        </w:tc>
        <w:tc>
          <w:tcPr>
            <w:tcW w:w="1595"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color w:val="000000"/>
                <w:sz w:val="20"/>
                <w:szCs w:val="20"/>
              </w:rPr>
              <w:t>10,808,602.60</w:t>
            </w:r>
          </w:p>
        </w:tc>
        <w:tc>
          <w:tcPr>
            <w:tcW w:w="1944"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12,823,741.44</w:t>
            </w:r>
          </w:p>
        </w:tc>
      </w:tr>
      <w:tr w:rsidR="000B609E">
        <w:trPr>
          <w:trHeight w:hRule="exact" w:val="907"/>
        </w:trPr>
        <w:tc>
          <w:tcPr>
            <w:tcW w:w="2455" w:type="dxa"/>
            <w:tcBorders>
              <w:tl2br w:val="nil"/>
              <w:tr2bl w:val="nil"/>
            </w:tcBorders>
            <w:vAlign w:val="center"/>
          </w:tcPr>
          <w:p w:rsidR="000B609E" w:rsidRDefault="00B220E1">
            <w:pPr>
              <w:pStyle w:val="11"/>
              <w:spacing w:afterLines="0" w:after="0"/>
              <w:ind w:firstLineChars="0" w:firstLine="0"/>
              <w:jc w:val="both"/>
              <w:rPr>
                <w:rFonts w:ascii="Times New Roman" w:hAnsi="Times New Roman" w:cs="Times New Roman"/>
                <w:sz w:val="18"/>
                <w:szCs w:val="18"/>
              </w:rPr>
            </w:pPr>
            <w:r>
              <w:rPr>
                <w:rFonts w:ascii="Times New Roman" w:hAnsi="Times New Roman" w:cs="Times New Roman"/>
                <w:sz w:val="18"/>
                <w:szCs w:val="18"/>
              </w:rPr>
              <w:t>Investment</w:t>
            </w:r>
            <w:r>
              <w:rPr>
                <w:rFonts w:ascii="Times New Roman" w:hAnsi="Times New Roman" w:cs="Times New Roman" w:hint="eastAsia"/>
                <w:sz w:val="18"/>
                <w:szCs w:val="18"/>
              </w:rPr>
              <w:t xml:space="preserve"> </w:t>
            </w:r>
            <w:r>
              <w:rPr>
                <w:rFonts w:ascii="Times New Roman" w:hAnsi="Times New Roman" w:cs="Times New Roman"/>
                <w:sz w:val="18"/>
                <w:szCs w:val="18"/>
              </w:rPr>
              <w:t>advance payment</w:t>
            </w:r>
          </w:p>
        </w:tc>
        <w:tc>
          <w:tcPr>
            <w:tcW w:w="1700" w:type="dxa"/>
            <w:tcBorders>
              <w:tl2br w:val="nil"/>
              <w:tr2bl w:val="nil"/>
            </w:tcBorders>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522" w:type="dxa"/>
            <w:tcBorders>
              <w:tl2br w:val="nil"/>
              <w:tr2bl w:val="nil"/>
            </w:tcBorders>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595" w:type="dxa"/>
            <w:tcBorders>
              <w:tl2br w:val="nil"/>
              <w:tr2bl w:val="nil"/>
            </w:tcBorders>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944" w:type="dxa"/>
            <w:tcBorders>
              <w:tl2br w:val="nil"/>
              <w:tr2bl w:val="nil"/>
            </w:tcBorders>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r>
      <w:tr w:rsidR="000B609E">
        <w:trPr>
          <w:trHeight w:hRule="exact" w:val="337"/>
        </w:trPr>
        <w:tc>
          <w:tcPr>
            <w:tcW w:w="2455" w:type="dxa"/>
            <w:tcBorders>
              <w:tl2br w:val="nil"/>
              <w:tr2bl w:val="nil"/>
            </w:tcBorders>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S</w:t>
            </w:r>
            <w:r>
              <w:rPr>
                <w:rFonts w:ascii="Times New Roman" w:hAnsi="Times New Roman" w:cs="Times New Roman"/>
                <w:b/>
                <w:sz w:val="18"/>
                <w:szCs w:val="18"/>
              </w:rPr>
              <w:t>ubtotal</w:t>
            </w:r>
          </w:p>
        </w:tc>
        <w:tc>
          <w:tcPr>
            <w:tcW w:w="1700"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29,241,951.78</w:t>
            </w:r>
          </w:p>
        </w:tc>
        <w:tc>
          <w:tcPr>
            <w:tcW w:w="1522"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22,934,733.35</w:t>
            </w:r>
          </w:p>
        </w:tc>
        <w:tc>
          <w:tcPr>
            <w:tcW w:w="1595"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28,938,071.21</w:t>
            </w:r>
          </w:p>
        </w:tc>
        <w:tc>
          <w:tcPr>
            <w:tcW w:w="1944"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22,148,917.14</w:t>
            </w:r>
          </w:p>
        </w:tc>
      </w:tr>
      <w:tr w:rsidR="000B609E">
        <w:trPr>
          <w:trHeight w:hRule="exact" w:val="907"/>
        </w:trPr>
        <w:tc>
          <w:tcPr>
            <w:tcW w:w="2455" w:type="dxa"/>
            <w:tcBorders>
              <w:tl2br w:val="nil"/>
              <w:tr2bl w:val="nil"/>
            </w:tcBorders>
            <w:vAlign w:val="center"/>
          </w:tcPr>
          <w:p w:rsidR="000B609E" w:rsidRDefault="00B220E1">
            <w:pPr>
              <w:pStyle w:val="11"/>
              <w:spacing w:afterLines="0" w:after="0"/>
              <w:ind w:firstLineChars="0" w:firstLine="0"/>
              <w:jc w:val="both"/>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inus: provision for bad debts</w:t>
            </w:r>
          </w:p>
        </w:tc>
        <w:tc>
          <w:tcPr>
            <w:tcW w:w="1700"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9,022,074.72</w:t>
            </w:r>
          </w:p>
        </w:tc>
        <w:tc>
          <w:tcPr>
            <w:tcW w:w="1522"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10,564,796.45</w:t>
            </w:r>
          </w:p>
        </w:tc>
        <w:tc>
          <w:tcPr>
            <w:tcW w:w="1595"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bCs/>
                <w:color w:val="000000"/>
                <w:sz w:val="20"/>
                <w:szCs w:val="20"/>
              </w:rPr>
              <w:t>9,022,074.72</w:t>
            </w:r>
          </w:p>
        </w:tc>
        <w:tc>
          <w:tcPr>
            <w:tcW w:w="1944"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10,564,796.45</w:t>
            </w:r>
          </w:p>
        </w:tc>
      </w:tr>
      <w:tr w:rsidR="000B609E">
        <w:trPr>
          <w:trHeight w:hRule="exact" w:val="454"/>
        </w:trPr>
        <w:tc>
          <w:tcPr>
            <w:tcW w:w="2455" w:type="dxa"/>
            <w:tcBorders>
              <w:tl2br w:val="nil"/>
              <w:tr2bl w:val="nil"/>
            </w:tcBorders>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Net value</w:t>
            </w:r>
          </w:p>
        </w:tc>
        <w:tc>
          <w:tcPr>
            <w:tcW w:w="1700"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color w:val="000000"/>
                <w:sz w:val="20"/>
                <w:szCs w:val="20"/>
              </w:rPr>
              <w:t>20,219,877.06</w:t>
            </w:r>
          </w:p>
        </w:tc>
        <w:tc>
          <w:tcPr>
            <w:tcW w:w="1522"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12,369,936.90</w:t>
            </w:r>
          </w:p>
        </w:tc>
        <w:tc>
          <w:tcPr>
            <w:tcW w:w="1595"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19,915,996.49</w:t>
            </w:r>
          </w:p>
        </w:tc>
        <w:tc>
          <w:tcPr>
            <w:tcW w:w="1944"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11,584,120.69</w:t>
            </w:r>
          </w:p>
        </w:tc>
      </w:tr>
    </w:tbl>
    <w:p w:rsidR="000B609E" w:rsidRDefault="00B220E1">
      <w:pPr>
        <w:pStyle w:val="11"/>
        <w:numPr>
          <w:ilvl w:val="0"/>
          <w:numId w:val="29"/>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Account</w:t>
      </w:r>
      <w:r>
        <w:rPr>
          <w:rFonts w:ascii="Times New Roman" w:hAnsi="Times New Roman" w:cs="Times New Roman"/>
          <w:sz w:val="24"/>
          <w:szCs w:val="24"/>
        </w:rPr>
        <w:t>s</w:t>
      </w:r>
      <w:r>
        <w:rPr>
          <w:rFonts w:ascii="Times New Roman" w:hAnsi="Times New Roman" w:cs="Times New Roman" w:hint="eastAsia"/>
          <w:sz w:val="24"/>
          <w:szCs w:val="24"/>
        </w:rPr>
        <w:t xml:space="preserve"> </w:t>
      </w:r>
      <w:r>
        <w:rPr>
          <w:rFonts w:ascii="Times New Roman" w:hAnsi="Times New Roman" w:cs="Times New Roman"/>
          <w:sz w:val="24"/>
          <w:szCs w:val="24"/>
        </w:rPr>
        <w:t>receivable</w:t>
      </w:r>
      <w:r>
        <w:rPr>
          <w:rFonts w:ascii="Times New Roman" w:hAnsi="Times New Roman" w:cs="Times New Roman" w:hint="eastAsia"/>
          <w:sz w:val="24"/>
          <w:szCs w:val="24"/>
        </w:rPr>
        <w:t xml:space="preserve"> </w:t>
      </w:r>
      <w:r>
        <w:rPr>
          <w:rFonts w:ascii="Times New Roman" w:hAnsi="Times New Roman" w:cs="Times New Roman"/>
          <w:sz w:val="24"/>
          <w:szCs w:val="24"/>
        </w:rPr>
        <w:t>duration</w:t>
      </w:r>
    </w:p>
    <w:tbl>
      <w:tblPr>
        <w:tblW w:w="9168" w:type="dxa"/>
        <w:tblInd w:w="-306" w:type="dxa"/>
        <w:tblLayout w:type="fixed"/>
        <w:tblLook w:val="04A0" w:firstRow="1" w:lastRow="0" w:firstColumn="1" w:lastColumn="0" w:noHBand="0" w:noVBand="1"/>
      </w:tblPr>
      <w:tblGrid>
        <w:gridCol w:w="1579"/>
        <w:gridCol w:w="1317"/>
        <w:gridCol w:w="830"/>
        <w:gridCol w:w="1260"/>
        <w:gridCol w:w="1434"/>
        <w:gridCol w:w="984"/>
        <w:gridCol w:w="1764"/>
      </w:tblGrid>
      <w:tr w:rsidR="000B609E">
        <w:trPr>
          <w:trHeight w:val="311"/>
          <w:tblHeader/>
        </w:trPr>
        <w:tc>
          <w:tcPr>
            <w:tcW w:w="1579" w:type="dxa"/>
            <w:vMerge w:val="restart"/>
            <w:tcBorders>
              <w:top w:val="double" w:sz="4" w:space="0" w:color="auto"/>
              <w:bottom w:val="single" w:sz="4" w:space="0" w:color="000000"/>
              <w:right w:val="single" w:sz="4" w:space="0" w:color="auto"/>
            </w:tcBorders>
            <w:shd w:val="clear" w:color="auto" w:fill="auto"/>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lastRenderedPageBreak/>
              <w:t>Duration</w:t>
            </w:r>
          </w:p>
        </w:tc>
        <w:tc>
          <w:tcPr>
            <w:tcW w:w="7589" w:type="dxa"/>
            <w:gridSpan w:val="6"/>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r>
      <w:tr w:rsidR="000B609E">
        <w:trPr>
          <w:trHeight w:val="347"/>
          <w:tblHeader/>
        </w:trPr>
        <w:tc>
          <w:tcPr>
            <w:tcW w:w="1579" w:type="dxa"/>
            <w:vMerge/>
            <w:tcBorders>
              <w:top w:val="single" w:sz="4" w:space="0" w:color="auto"/>
              <w:bottom w:val="single" w:sz="4" w:space="0" w:color="000000"/>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3407" w:type="dxa"/>
            <w:gridSpan w:val="3"/>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4182" w:type="dxa"/>
            <w:gridSpan w:val="3"/>
            <w:tcBorders>
              <w:top w:val="sing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r>
      <w:tr w:rsidR="000B609E">
        <w:trPr>
          <w:trHeight w:val="311"/>
          <w:tblHeader/>
        </w:trPr>
        <w:tc>
          <w:tcPr>
            <w:tcW w:w="1579" w:type="dxa"/>
            <w:vMerge/>
            <w:tcBorders>
              <w:top w:val="single" w:sz="4" w:space="0" w:color="auto"/>
              <w:bottom w:val="single" w:sz="4" w:space="0" w:color="000000"/>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31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A</w:t>
            </w:r>
            <w:r>
              <w:rPr>
                <w:rFonts w:ascii="Times New Roman" w:eastAsia="宋体" w:hAnsi="Times New Roman" w:cs="Times New Roman"/>
                <w:b/>
                <w:bCs/>
                <w:color w:val="000000"/>
                <w:kern w:val="0"/>
                <w:sz w:val="18"/>
                <w:szCs w:val="18"/>
              </w:rPr>
              <w:t>mount</w:t>
            </w:r>
          </w:p>
        </w:tc>
        <w:tc>
          <w:tcPr>
            <w:tcW w:w="8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Ratio</w:t>
            </w:r>
            <w:r>
              <w:rPr>
                <w:rFonts w:ascii="Times New Roman" w:eastAsia="宋体" w:hAnsi="Times New Roman" w:cs="Times New Roman"/>
                <w:b/>
                <w:bCs/>
                <w:color w:val="000000"/>
                <w:kern w:val="0"/>
                <w:sz w:val="18"/>
                <w:szCs w:val="18"/>
              </w:rPr>
              <w:t>（</w:t>
            </w:r>
            <w:r>
              <w:rPr>
                <w:rFonts w:ascii="Times New Roman" w:eastAsia="宋体" w:hAnsi="Times New Roman" w:cs="Times New Roman"/>
                <w:b/>
                <w:bCs/>
                <w:color w:val="000000"/>
                <w:kern w:val="0"/>
                <w:sz w:val="18"/>
                <w:szCs w:val="18"/>
              </w:rPr>
              <w:t>%</w:t>
            </w:r>
            <w:r>
              <w:rPr>
                <w:rFonts w:ascii="Times New Roman" w:eastAsia="宋体" w:hAnsi="Times New Roman" w:cs="Times New Roman"/>
                <w:b/>
                <w:bCs/>
                <w:color w:val="000000"/>
                <w:kern w:val="0"/>
                <w:sz w:val="18"/>
                <w:szCs w:val="18"/>
              </w:rPr>
              <w:t>）</w:t>
            </w:r>
          </w:p>
        </w:tc>
        <w:tc>
          <w:tcPr>
            <w:tcW w:w="12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Allowance for bad debts</w:t>
            </w:r>
          </w:p>
        </w:tc>
        <w:tc>
          <w:tcPr>
            <w:tcW w:w="14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A</w:t>
            </w:r>
            <w:r>
              <w:rPr>
                <w:rFonts w:ascii="Times New Roman" w:eastAsia="宋体" w:hAnsi="Times New Roman" w:cs="Times New Roman"/>
                <w:b/>
                <w:bCs/>
                <w:color w:val="000000"/>
                <w:kern w:val="0"/>
                <w:sz w:val="18"/>
                <w:szCs w:val="18"/>
              </w:rPr>
              <w:t>mount</w:t>
            </w:r>
          </w:p>
        </w:tc>
        <w:tc>
          <w:tcPr>
            <w:tcW w:w="98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Ratio</w:t>
            </w:r>
            <w:r>
              <w:rPr>
                <w:rFonts w:ascii="Times New Roman" w:eastAsia="宋体" w:hAnsi="Times New Roman" w:cs="Times New Roman"/>
                <w:b/>
                <w:bCs/>
                <w:color w:val="000000"/>
                <w:kern w:val="0"/>
                <w:sz w:val="18"/>
                <w:szCs w:val="18"/>
              </w:rPr>
              <w:t>（</w:t>
            </w:r>
            <w:r>
              <w:rPr>
                <w:rFonts w:ascii="Times New Roman" w:eastAsia="宋体" w:hAnsi="Times New Roman" w:cs="Times New Roman"/>
                <w:b/>
                <w:bCs/>
                <w:color w:val="000000"/>
                <w:kern w:val="0"/>
                <w:sz w:val="18"/>
                <w:szCs w:val="18"/>
              </w:rPr>
              <w:t>%</w:t>
            </w:r>
            <w:r>
              <w:rPr>
                <w:rFonts w:ascii="Times New Roman" w:eastAsia="宋体" w:hAnsi="Times New Roman" w:cs="Times New Roman"/>
                <w:b/>
                <w:bCs/>
                <w:color w:val="000000"/>
                <w:kern w:val="0"/>
                <w:sz w:val="18"/>
                <w:szCs w:val="18"/>
              </w:rPr>
              <w:t>）</w:t>
            </w:r>
          </w:p>
        </w:tc>
        <w:tc>
          <w:tcPr>
            <w:tcW w:w="176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Allowance for bad debts</w:t>
            </w:r>
          </w:p>
        </w:tc>
      </w:tr>
      <w:tr w:rsidR="000B609E">
        <w:trPr>
          <w:trHeight w:hRule="exact" w:val="454"/>
        </w:trPr>
        <w:tc>
          <w:tcPr>
            <w:tcW w:w="157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90 days </w:t>
            </w:r>
          </w:p>
        </w:tc>
        <w:tc>
          <w:tcPr>
            <w:tcW w:w="131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16,749,203.24</w:t>
            </w:r>
          </w:p>
        </w:tc>
        <w:tc>
          <w:tcPr>
            <w:tcW w:w="8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57.28</w:t>
            </w:r>
          </w:p>
        </w:tc>
        <w:tc>
          <w:tcPr>
            <w:tcW w:w="12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246,679.84</w:t>
            </w:r>
          </w:p>
        </w:tc>
        <w:tc>
          <w:tcPr>
            <w:tcW w:w="14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lang w:val="en-GB" w:eastAsia="en-US"/>
              </w:rPr>
            </w:pPr>
            <w:r>
              <w:rPr>
                <w:rFonts w:ascii="Arial Narrow" w:eastAsia="宋体" w:hAnsi="Arial Narrow" w:cs="Arial Narrow" w:hint="eastAsia"/>
                <w:snapToGrid w:val="0"/>
                <w:kern w:val="0"/>
                <w:sz w:val="20"/>
                <w:szCs w:val="20"/>
              </w:rPr>
              <w:t xml:space="preserve">9,108,034.52 </w:t>
            </w:r>
          </w:p>
        </w:tc>
        <w:tc>
          <w:tcPr>
            <w:tcW w:w="98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39.71</w:t>
            </w:r>
          </w:p>
        </w:tc>
        <w:tc>
          <w:tcPr>
            <w:tcW w:w="176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73,233.24 </w:t>
            </w:r>
          </w:p>
        </w:tc>
      </w:tr>
      <w:tr w:rsidR="000B609E">
        <w:trPr>
          <w:trHeight w:hRule="exact" w:val="454"/>
        </w:trPr>
        <w:tc>
          <w:tcPr>
            <w:tcW w:w="157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90 days to 1 year</w:t>
            </w:r>
          </w:p>
        </w:tc>
        <w:tc>
          <w:tcPr>
            <w:tcW w:w="131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3,800,167.55</w:t>
            </w:r>
          </w:p>
        </w:tc>
        <w:tc>
          <w:tcPr>
            <w:tcW w:w="8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13.00</w:t>
            </w:r>
          </w:p>
        </w:tc>
        <w:tc>
          <w:tcPr>
            <w:tcW w:w="12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999,443.58</w:t>
            </w:r>
          </w:p>
        </w:tc>
        <w:tc>
          <w:tcPr>
            <w:tcW w:w="14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3,481,602.10 </w:t>
            </w:r>
          </w:p>
        </w:tc>
        <w:tc>
          <w:tcPr>
            <w:tcW w:w="98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15.18</w:t>
            </w:r>
          </w:p>
        </w:tc>
        <w:tc>
          <w:tcPr>
            <w:tcW w:w="176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146,466.48 </w:t>
            </w:r>
          </w:p>
        </w:tc>
      </w:tr>
      <w:tr w:rsidR="000B609E">
        <w:trPr>
          <w:trHeight w:hRule="exact" w:val="454"/>
        </w:trPr>
        <w:tc>
          <w:tcPr>
            <w:tcW w:w="157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1 year to 2 years </w:t>
            </w:r>
          </w:p>
        </w:tc>
        <w:tc>
          <w:tcPr>
            <w:tcW w:w="131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2,291,574.22</w:t>
            </w:r>
          </w:p>
        </w:tc>
        <w:tc>
          <w:tcPr>
            <w:tcW w:w="8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7.84</w:t>
            </w:r>
          </w:p>
        </w:tc>
        <w:tc>
          <w:tcPr>
            <w:tcW w:w="12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1,374,944.53</w:t>
            </w:r>
          </w:p>
        </w:tc>
        <w:tc>
          <w:tcPr>
            <w:tcW w:w="14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1,941,564.55 </w:t>
            </w:r>
          </w:p>
        </w:tc>
        <w:tc>
          <w:tcPr>
            <w:tcW w:w="98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8.47</w:t>
            </w:r>
          </w:p>
        </w:tc>
        <w:tc>
          <w:tcPr>
            <w:tcW w:w="176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1,941,564.55 </w:t>
            </w:r>
          </w:p>
        </w:tc>
      </w:tr>
      <w:tr w:rsidR="000B609E">
        <w:trPr>
          <w:trHeight w:hRule="exact" w:val="454"/>
        </w:trPr>
        <w:tc>
          <w:tcPr>
            <w:tcW w:w="157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Over 2years</w:t>
            </w:r>
          </w:p>
        </w:tc>
        <w:tc>
          <w:tcPr>
            <w:tcW w:w="131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6,401,006.77</w:t>
            </w:r>
          </w:p>
        </w:tc>
        <w:tc>
          <w:tcPr>
            <w:tcW w:w="83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Arial Narrow"/>
                <w:snapToGrid w:val="0"/>
                <w:kern w:val="0"/>
                <w:sz w:val="20"/>
                <w:szCs w:val="20"/>
              </w:rPr>
            </w:pPr>
            <w:r>
              <w:rPr>
                <w:rFonts w:ascii="Arial Narrow" w:hAnsi="Arial Narrow"/>
                <w:sz w:val="20"/>
                <w:szCs w:val="20"/>
              </w:rPr>
              <w:t>21.8</w:t>
            </w:r>
            <w:r>
              <w:rPr>
                <w:rFonts w:ascii="Arial Narrow" w:hAnsi="Arial Narrow" w:hint="eastAsia"/>
                <w:sz w:val="20"/>
                <w:szCs w:val="20"/>
              </w:rPr>
              <w:t>9</w:t>
            </w:r>
          </w:p>
        </w:tc>
        <w:tc>
          <w:tcPr>
            <w:tcW w:w="12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6,401,006.77</w:t>
            </w:r>
          </w:p>
        </w:tc>
        <w:tc>
          <w:tcPr>
            <w:tcW w:w="14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8,403,532.18 </w:t>
            </w:r>
          </w:p>
        </w:tc>
        <w:tc>
          <w:tcPr>
            <w:tcW w:w="98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36.64</w:t>
            </w:r>
          </w:p>
        </w:tc>
        <w:tc>
          <w:tcPr>
            <w:tcW w:w="176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8,403,532.18 </w:t>
            </w:r>
          </w:p>
        </w:tc>
      </w:tr>
      <w:tr w:rsidR="000B609E">
        <w:trPr>
          <w:trHeight w:hRule="exact" w:val="454"/>
        </w:trPr>
        <w:tc>
          <w:tcPr>
            <w:tcW w:w="1579" w:type="dxa"/>
            <w:tcBorders>
              <w:top w:val="nil"/>
              <w:bottom w:val="double" w:sz="4" w:space="0" w:color="auto"/>
              <w:right w:val="single" w:sz="4" w:space="0" w:color="auto"/>
            </w:tcBorders>
            <w:shd w:val="clear" w:color="auto" w:fill="auto"/>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Total</w:t>
            </w:r>
          </w:p>
        </w:tc>
        <w:tc>
          <w:tcPr>
            <w:tcW w:w="1317"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29,241,951.78</w:t>
            </w:r>
          </w:p>
        </w:tc>
        <w:tc>
          <w:tcPr>
            <w:tcW w:w="83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100.00</w:t>
            </w:r>
          </w:p>
        </w:tc>
        <w:tc>
          <w:tcPr>
            <w:tcW w:w="126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9,022,074.72</w:t>
            </w:r>
          </w:p>
        </w:tc>
        <w:tc>
          <w:tcPr>
            <w:tcW w:w="143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22,934,733.35</w:t>
            </w:r>
          </w:p>
        </w:tc>
        <w:tc>
          <w:tcPr>
            <w:tcW w:w="98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100.00</w:t>
            </w:r>
          </w:p>
        </w:tc>
        <w:tc>
          <w:tcPr>
            <w:tcW w:w="1764"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10,564,796.45</w:t>
            </w:r>
          </w:p>
        </w:tc>
      </w:tr>
    </w:tbl>
    <w:p w:rsidR="000B609E" w:rsidRDefault="000B609E">
      <w:pPr>
        <w:spacing w:after="156" w:line="360" w:lineRule="auto"/>
        <w:ind w:left="720" w:firstLine="480"/>
        <w:rPr>
          <w:rFonts w:ascii="Times New Roman" w:hAnsi="Times New Roman" w:cs="Times New Roman"/>
          <w:sz w:val="24"/>
          <w:szCs w:val="24"/>
        </w:rPr>
      </w:pPr>
    </w:p>
    <w:tbl>
      <w:tblPr>
        <w:tblW w:w="9180" w:type="dxa"/>
        <w:tblInd w:w="-295" w:type="dxa"/>
        <w:tblLayout w:type="fixed"/>
        <w:tblLook w:val="04A0" w:firstRow="1" w:lastRow="0" w:firstColumn="1" w:lastColumn="0" w:noHBand="0" w:noVBand="1"/>
      </w:tblPr>
      <w:tblGrid>
        <w:gridCol w:w="1566"/>
        <w:gridCol w:w="1317"/>
        <w:gridCol w:w="830"/>
        <w:gridCol w:w="1255"/>
        <w:gridCol w:w="1441"/>
        <w:gridCol w:w="983"/>
        <w:gridCol w:w="1788"/>
      </w:tblGrid>
      <w:tr w:rsidR="000B609E">
        <w:trPr>
          <w:trHeight w:val="311"/>
        </w:trPr>
        <w:tc>
          <w:tcPr>
            <w:tcW w:w="1566" w:type="dxa"/>
            <w:vMerge w:val="restart"/>
            <w:tcBorders>
              <w:top w:val="double" w:sz="4" w:space="0" w:color="auto"/>
              <w:bottom w:val="single" w:sz="4" w:space="0" w:color="000000"/>
              <w:right w:val="single" w:sz="4" w:space="0" w:color="auto"/>
            </w:tcBorders>
            <w:shd w:val="clear" w:color="auto" w:fill="auto"/>
            <w:vAlign w:val="center"/>
          </w:tcPr>
          <w:p w:rsidR="000B609E" w:rsidRDefault="00B220E1">
            <w:pPr>
              <w:pStyle w:val="11"/>
              <w:spacing w:after="156" w:line="360" w:lineRule="auto"/>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Duration</w:t>
            </w:r>
          </w:p>
        </w:tc>
        <w:tc>
          <w:tcPr>
            <w:tcW w:w="7614" w:type="dxa"/>
            <w:gridSpan w:val="6"/>
            <w:tcBorders>
              <w:top w:val="double" w:sz="4" w:space="0" w:color="auto"/>
              <w:left w:val="nil"/>
              <w:bottom w:val="single" w:sz="4" w:space="0" w:color="auto"/>
            </w:tcBorders>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47"/>
        </w:trPr>
        <w:tc>
          <w:tcPr>
            <w:tcW w:w="1566" w:type="dxa"/>
            <w:vMerge/>
            <w:tcBorders>
              <w:top w:val="single" w:sz="4" w:space="0" w:color="auto"/>
              <w:bottom w:val="single" w:sz="4" w:space="0" w:color="000000"/>
              <w:right w:val="single" w:sz="4" w:space="0" w:color="auto"/>
            </w:tcBorders>
            <w:vAlign w:val="center"/>
          </w:tcPr>
          <w:p w:rsidR="000B609E" w:rsidRDefault="000B609E">
            <w:pPr>
              <w:spacing w:after="156" w:line="360" w:lineRule="auto"/>
              <w:ind w:firstLine="361"/>
              <w:jc w:val="center"/>
              <w:rPr>
                <w:rFonts w:ascii="Times New Roman" w:eastAsia="宋体" w:hAnsi="Times New Roman" w:cs="Times New Roman"/>
                <w:b/>
                <w:bCs/>
                <w:color w:val="000000"/>
                <w:kern w:val="0"/>
                <w:sz w:val="18"/>
                <w:szCs w:val="18"/>
              </w:rPr>
            </w:pPr>
          </w:p>
        </w:tc>
        <w:tc>
          <w:tcPr>
            <w:tcW w:w="3402" w:type="dxa"/>
            <w:gridSpan w:val="3"/>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c>
          <w:tcPr>
            <w:tcW w:w="4212" w:type="dxa"/>
            <w:gridSpan w:val="3"/>
            <w:tcBorders>
              <w:top w:val="single" w:sz="4" w:space="0" w:color="auto"/>
              <w:left w:val="nil"/>
              <w:bottom w:val="single" w:sz="4" w:space="0" w:color="auto"/>
            </w:tcBorders>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r>
      <w:tr w:rsidR="000B609E">
        <w:trPr>
          <w:trHeight w:val="311"/>
        </w:trPr>
        <w:tc>
          <w:tcPr>
            <w:tcW w:w="1566" w:type="dxa"/>
            <w:vMerge/>
            <w:tcBorders>
              <w:top w:val="single" w:sz="4" w:space="0" w:color="auto"/>
              <w:bottom w:val="single" w:sz="4" w:space="0" w:color="000000"/>
              <w:right w:val="single" w:sz="4" w:space="0" w:color="auto"/>
            </w:tcBorders>
            <w:vAlign w:val="center"/>
          </w:tcPr>
          <w:p w:rsidR="000B609E" w:rsidRDefault="000B609E">
            <w:pPr>
              <w:spacing w:after="156" w:line="360" w:lineRule="auto"/>
              <w:ind w:firstLine="361"/>
              <w:jc w:val="center"/>
              <w:rPr>
                <w:rFonts w:ascii="Times New Roman" w:eastAsia="宋体" w:hAnsi="Times New Roman" w:cs="Times New Roman"/>
                <w:b/>
                <w:bCs/>
                <w:color w:val="000000"/>
                <w:kern w:val="0"/>
                <w:sz w:val="18"/>
                <w:szCs w:val="18"/>
              </w:rPr>
            </w:pPr>
          </w:p>
        </w:tc>
        <w:tc>
          <w:tcPr>
            <w:tcW w:w="1317"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A</w:t>
            </w:r>
            <w:r>
              <w:rPr>
                <w:rFonts w:ascii="Times New Roman" w:eastAsia="宋体" w:hAnsi="Times New Roman" w:cs="Times New Roman"/>
                <w:b/>
                <w:bCs/>
                <w:color w:val="000000"/>
                <w:kern w:val="0"/>
                <w:sz w:val="18"/>
                <w:szCs w:val="18"/>
              </w:rPr>
              <w:t>mount</w:t>
            </w:r>
          </w:p>
        </w:tc>
        <w:tc>
          <w:tcPr>
            <w:tcW w:w="830"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Ratio</w:t>
            </w:r>
            <w:r>
              <w:rPr>
                <w:rFonts w:ascii="Times New Roman" w:eastAsia="宋体" w:hAnsi="Times New Roman" w:cs="Times New Roman"/>
                <w:b/>
                <w:bCs/>
                <w:color w:val="000000"/>
                <w:kern w:val="0"/>
                <w:sz w:val="18"/>
                <w:szCs w:val="18"/>
              </w:rPr>
              <w:t>（</w:t>
            </w:r>
            <w:r>
              <w:rPr>
                <w:rFonts w:ascii="Times New Roman" w:eastAsia="宋体" w:hAnsi="Times New Roman" w:cs="Times New Roman"/>
                <w:b/>
                <w:bCs/>
                <w:color w:val="000000"/>
                <w:kern w:val="0"/>
                <w:sz w:val="18"/>
                <w:szCs w:val="18"/>
              </w:rPr>
              <w:t>%</w:t>
            </w:r>
            <w:r>
              <w:rPr>
                <w:rFonts w:ascii="Times New Roman" w:eastAsia="宋体" w:hAnsi="Times New Roman" w:cs="Times New Roman"/>
                <w:b/>
                <w:bCs/>
                <w:color w:val="000000"/>
                <w:kern w:val="0"/>
                <w:sz w:val="18"/>
                <w:szCs w:val="18"/>
              </w:rPr>
              <w:t>）</w:t>
            </w:r>
          </w:p>
        </w:tc>
        <w:tc>
          <w:tcPr>
            <w:tcW w:w="1255"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Allowance for bad debts</w:t>
            </w:r>
          </w:p>
        </w:tc>
        <w:tc>
          <w:tcPr>
            <w:tcW w:w="1441"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A</w:t>
            </w:r>
            <w:r>
              <w:rPr>
                <w:rFonts w:ascii="Times New Roman" w:eastAsia="宋体" w:hAnsi="Times New Roman" w:cs="Times New Roman"/>
                <w:b/>
                <w:bCs/>
                <w:color w:val="000000"/>
                <w:kern w:val="0"/>
                <w:sz w:val="18"/>
                <w:szCs w:val="18"/>
              </w:rPr>
              <w:t>mount</w:t>
            </w:r>
          </w:p>
        </w:tc>
        <w:tc>
          <w:tcPr>
            <w:tcW w:w="983"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Ratio</w:t>
            </w:r>
            <w:r>
              <w:rPr>
                <w:rFonts w:ascii="Times New Roman" w:eastAsia="宋体" w:hAnsi="Times New Roman" w:cs="Times New Roman"/>
                <w:b/>
                <w:bCs/>
                <w:color w:val="000000"/>
                <w:kern w:val="0"/>
                <w:sz w:val="18"/>
                <w:szCs w:val="18"/>
              </w:rPr>
              <w:t>（</w:t>
            </w:r>
            <w:r>
              <w:rPr>
                <w:rFonts w:ascii="Times New Roman" w:eastAsia="宋体" w:hAnsi="Times New Roman" w:cs="Times New Roman"/>
                <w:b/>
                <w:bCs/>
                <w:color w:val="000000"/>
                <w:kern w:val="0"/>
                <w:sz w:val="18"/>
                <w:szCs w:val="18"/>
              </w:rPr>
              <w:t>%</w:t>
            </w:r>
            <w:r>
              <w:rPr>
                <w:rFonts w:ascii="Times New Roman" w:eastAsia="宋体" w:hAnsi="Times New Roman" w:cs="Times New Roman"/>
                <w:b/>
                <w:bCs/>
                <w:color w:val="000000"/>
                <w:kern w:val="0"/>
                <w:sz w:val="18"/>
                <w:szCs w:val="18"/>
              </w:rPr>
              <w:t>）</w:t>
            </w:r>
          </w:p>
        </w:tc>
        <w:tc>
          <w:tcPr>
            <w:tcW w:w="1788" w:type="dxa"/>
            <w:tcBorders>
              <w:top w:val="nil"/>
              <w:left w:val="nil"/>
              <w:bottom w:val="single" w:sz="4" w:space="0" w:color="auto"/>
            </w:tcBorders>
            <w:shd w:val="clear" w:color="auto" w:fill="auto"/>
            <w:vAlign w:val="center"/>
          </w:tcPr>
          <w:p w:rsidR="000B609E" w:rsidRDefault="00B220E1">
            <w:pPr>
              <w:spacing w:after="156" w:line="360" w:lineRule="auto"/>
              <w:ind w:left="542" w:hangingChars="300" w:hanging="542"/>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Allowance for bad debts</w:t>
            </w:r>
          </w:p>
        </w:tc>
      </w:tr>
      <w:tr w:rsidR="000B609E">
        <w:trPr>
          <w:trHeight w:hRule="exact" w:val="454"/>
        </w:trPr>
        <w:tc>
          <w:tcPr>
            <w:tcW w:w="1566" w:type="dxa"/>
            <w:tcBorders>
              <w:top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90 days </w:t>
            </w:r>
          </w:p>
        </w:tc>
        <w:tc>
          <w:tcPr>
            <w:tcW w:w="1317"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16,445,322.67</w:t>
            </w:r>
          </w:p>
        </w:tc>
        <w:tc>
          <w:tcPr>
            <w:tcW w:w="830"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56.83</w:t>
            </w:r>
          </w:p>
        </w:tc>
        <w:tc>
          <w:tcPr>
            <w:tcW w:w="1255"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246,679.84</w:t>
            </w:r>
          </w:p>
        </w:tc>
        <w:tc>
          <w:tcPr>
            <w:tcW w:w="1441"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8,322,218.31</w:t>
            </w:r>
          </w:p>
        </w:tc>
        <w:tc>
          <w:tcPr>
            <w:tcW w:w="983"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37.57</w:t>
            </w:r>
          </w:p>
        </w:tc>
        <w:tc>
          <w:tcPr>
            <w:tcW w:w="1788" w:type="dxa"/>
            <w:tcBorders>
              <w:top w:val="nil"/>
              <w:left w:val="nil"/>
              <w:bottom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73,233.24</w:t>
            </w:r>
          </w:p>
        </w:tc>
      </w:tr>
      <w:tr w:rsidR="000B609E">
        <w:trPr>
          <w:trHeight w:hRule="exact" w:val="454"/>
        </w:trPr>
        <w:tc>
          <w:tcPr>
            <w:tcW w:w="1566" w:type="dxa"/>
            <w:tcBorders>
              <w:top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90 days to 1 year</w:t>
            </w:r>
          </w:p>
        </w:tc>
        <w:tc>
          <w:tcPr>
            <w:tcW w:w="1317"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3,800,167.55</w:t>
            </w:r>
          </w:p>
        </w:tc>
        <w:tc>
          <w:tcPr>
            <w:tcW w:w="830"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13.13</w:t>
            </w:r>
          </w:p>
        </w:tc>
        <w:tc>
          <w:tcPr>
            <w:tcW w:w="1255"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999,443.58</w:t>
            </w:r>
          </w:p>
        </w:tc>
        <w:tc>
          <w:tcPr>
            <w:tcW w:w="1441"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3,481,602.10</w:t>
            </w:r>
          </w:p>
        </w:tc>
        <w:tc>
          <w:tcPr>
            <w:tcW w:w="983"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15.72</w:t>
            </w:r>
          </w:p>
        </w:tc>
        <w:tc>
          <w:tcPr>
            <w:tcW w:w="1788" w:type="dxa"/>
            <w:tcBorders>
              <w:top w:val="nil"/>
              <w:left w:val="nil"/>
              <w:bottom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146,466.48</w:t>
            </w:r>
          </w:p>
        </w:tc>
      </w:tr>
      <w:tr w:rsidR="000B609E">
        <w:trPr>
          <w:trHeight w:hRule="exact" w:val="454"/>
        </w:trPr>
        <w:tc>
          <w:tcPr>
            <w:tcW w:w="1566" w:type="dxa"/>
            <w:tcBorders>
              <w:top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1 year to 2 years </w:t>
            </w:r>
          </w:p>
        </w:tc>
        <w:tc>
          <w:tcPr>
            <w:tcW w:w="1317"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2,291,574.22</w:t>
            </w:r>
          </w:p>
        </w:tc>
        <w:tc>
          <w:tcPr>
            <w:tcW w:w="830"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7.92</w:t>
            </w:r>
          </w:p>
        </w:tc>
        <w:tc>
          <w:tcPr>
            <w:tcW w:w="1255"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1,374,944.53</w:t>
            </w:r>
          </w:p>
        </w:tc>
        <w:tc>
          <w:tcPr>
            <w:tcW w:w="1441"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1,941,564.55</w:t>
            </w:r>
          </w:p>
        </w:tc>
        <w:tc>
          <w:tcPr>
            <w:tcW w:w="983"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8.77</w:t>
            </w:r>
          </w:p>
        </w:tc>
        <w:tc>
          <w:tcPr>
            <w:tcW w:w="1788" w:type="dxa"/>
            <w:tcBorders>
              <w:top w:val="nil"/>
              <w:left w:val="nil"/>
              <w:bottom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1,941,564.55</w:t>
            </w:r>
          </w:p>
        </w:tc>
      </w:tr>
      <w:tr w:rsidR="000B609E">
        <w:trPr>
          <w:trHeight w:hRule="exact" w:val="454"/>
        </w:trPr>
        <w:tc>
          <w:tcPr>
            <w:tcW w:w="1566" w:type="dxa"/>
            <w:tcBorders>
              <w:top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Over 2 years</w:t>
            </w:r>
          </w:p>
        </w:tc>
        <w:tc>
          <w:tcPr>
            <w:tcW w:w="1317"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6,401,006.77</w:t>
            </w:r>
          </w:p>
        </w:tc>
        <w:tc>
          <w:tcPr>
            <w:tcW w:w="830"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22.12</w:t>
            </w:r>
          </w:p>
        </w:tc>
        <w:tc>
          <w:tcPr>
            <w:tcW w:w="1255"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6,401,006.77</w:t>
            </w:r>
          </w:p>
        </w:tc>
        <w:tc>
          <w:tcPr>
            <w:tcW w:w="1441"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8,403,532.18</w:t>
            </w:r>
          </w:p>
        </w:tc>
        <w:tc>
          <w:tcPr>
            <w:tcW w:w="983" w:type="dxa"/>
            <w:tcBorders>
              <w:top w:val="nil"/>
              <w:left w:val="nil"/>
              <w:bottom w:val="sing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37.94</w:t>
            </w:r>
          </w:p>
        </w:tc>
        <w:tc>
          <w:tcPr>
            <w:tcW w:w="1788" w:type="dxa"/>
            <w:tcBorders>
              <w:top w:val="nil"/>
              <w:left w:val="nil"/>
              <w:bottom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8,403,532.18</w:t>
            </w:r>
          </w:p>
        </w:tc>
      </w:tr>
      <w:tr w:rsidR="000B609E">
        <w:trPr>
          <w:trHeight w:hRule="exact" w:val="454"/>
        </w:trPr>
        <w:tc>
          <w:tcPr>
            <w:tcW w:w="1566" w:type="dxa"/>
            <w:tcBorders>
              <w:top w:val="nil"/>
              <w:bottom w:val="double" w:sz="4" w:space="0" w:color="auto"/>
              <w:right w:val="single" w:sz="4" w:space="0" w:color="auto"/>
            </w:tcBorders>
            <w:shd w:val="clear" w:color="auto" w:fill="auto"/>
            <w:vAlign w:val="center"/>
          </w:tcPr>
          <w:p w:rsidR="000B609E" w:rsidRDefault="00B220E1">
            <w:pPr>
              <w:pStyle w:val="11"/>
              <w:spacing w:after="156" w:line="360" w:lineRule="auto"/>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Total</w:t>
            </w:r>
          </w:p>
        </w:tc>
        <w:tc>
          <w:tcPr>
            <w:tcW w:w="1317" w:type="dxa"/>
            <w:tcBorders>
              <w:top w:val="nil"/>
              <w:left w:val="nil"/>
              <w:bottom w:val="doub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28,938,071.21</w:t>
            </w:r>
          </w:p>
        </w:tc>
        <w:tc>
          <w:tcPr>
            <w:tcW w:w="830" w:type="dxa"/>
            <w:tcBorders>
              <w:top w:val="nil"/>
              <w:left w:val="nil"/>
              <w:bottom w:val="doub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100.00%</w:t>
            </w:r>
          </w:p>
        </w:tc>
        <w:tc>
          <w:tcPr>
            <w:tcW w:w="1255" w:type="dxa"/>
            <w:tcBorders>
              <w:top w:val="nil"/>
              <w:left w:val="nil"/>
              <w:bottom w:val="doub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9,022,074.72</w:t>
            </w:r>
          </w:p>
        </w:tc>
        <w:tc>
          <w:tcPr>
            <w:tcW w:w="1441" w:type="dxa"/>
            <w:tcBorders>
              <w:top w:val="nil"/>
              <w:left w:val="nil"/>
              <w:bottom w:val="doub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22,148,917.14</w:t>
            </w:r>
          </w:p>
        </w:tc>
        <w:tc>
          <w:tcPr>
            <w:tcW w:w="983" w:type="dxa"/>
            <w:tcBorders>
              <w:top w:val="nil"/>
              <w:left w:val="nil"/>
              <w:bottom w:val="double" w:sz="4" w:space="0" w:color="auto"/>
              <w:right w:val="sing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100.00</w:t>
            </w:r>
          </w:p>
        </w:tc>
        <w:tc>
          <w:tcPr>
            <w:tcW w:w="1788" w:type="dxa"/>
            <w:tcBorders>
              <w:top w:val="nil"/>
              <w:left w:val="nil"/>
              <w:bottom w:val="double" w:sz="4" w:space="0" w:color="auto"/>
            </w:tcBorders>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10,564,796.45</w:t>
            </w:r>
          </w:p>
        </w:tc>
      </w:tr>
    </w:tbl>
    <w:p w:rsidR="000B609E" w:rsidRDefault="00B220E1">
      <w:pPr>
        <w:pStyle w:val="11"/>
        <w:numPr>
          <w:ilvl w:val="0"/>
          <w:numId w:val="28"/>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Long-term deferred expenses</w:t>
      </w:r>
    </w:p>
    <w:p w:rsidR="000B609E" w:rsidRDefault="00B220E1">
      <w:pPr>
        <w:pStyle w:val="11"/>
        <w:spacing w:beforeLines="50" w:before="156" w:after="156" w:line="360" w:lineRule="auto"/>
        <w:ind w:leftChars="200" w:left="420" w:firstLineChars="0" w:firstLine="0"/>
        <w:rPr>
          <w:rFonts w:ascii="Times New Roman" w:hAnsi="Times New Roman" w:cs="Times New Roman"/>
          <w:sz w:val="24"/>
          <w:szCs w:val="24"/>
        </w:rPr>
      </w:pPr>
      <w:r>
        <w:rPr>
          <w:rFonts w:ascii="Times New Roman" w:hAnsi="Times New Roman" w:cs="Times New Roman" w:hint="eastAsia"/>
          <w:sz w:val="24"/>
          <w:szCs w:val="24"/>
        </w:rPr>
        <w:t>The Group:</w:t>
      </w:r>
    </w:p>
    <w:tbl>
      <w:tblPr>
        <w:tblW w:w="9192" w:type="dxa"/>
        <w:jc w:val="center"/>
        <w:tblLayout w:type="fixed"/>
        <w:tblLook w:val="04A0" w:firstRow="1" w:lastRow="0" w:firstColumn="1" w:lastColumn="0" w:noHBand="0" w:noVBand="1"/>
      </w:tblPr>
      <w:tblGrid>
        <w:gridCol w:w="1366"/>
        <w:gridCol w:w="1761"/>
        <w:gridCol w:w="1661"/>
        <w:gridCol w:w="1987"/>
        <w:gridCol w:w="2417"/>
      </w:tblGrid>
      <w:tr w:rsidR="000B609E">
        <w:trPr>
          <w:trHeight w:val="314"/>
          <w:tblHeader/>
          <w:jc w:val="center"/>
        </w:trPr>
        <w:tc>
          <w:tcPr>
            <w:tcW w:w="1366"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Items</w:t>
            </w:r>
          </w:p>
        </w:tc>
        <w:tc>
          <w:tcPr>
            <w:tcW w:w="7826" w:type="dxa"/>
            <w:gridSpan w:val="4"/>
            <w:tcBorders>
              <w:top w:val="double" w:sz="4" w:space="0" w:color="auto"/>
              <w:left w:val="nil"/>
              <w:bottom w:val="single" w:sz="4" w:space="0" w:color="auto"/>
            </w:tcBorders>
            <w:shd w:val="clear" w:color="auto" w:fill="auto"/>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2020-12-31</w:t>
            </w:r>
          </w:p>
        </w:tc>
      </w:tr>
      <w:tr w:rsidR="000B609E">
        <w:trPr>
          <w:trHeight w:val="282"/>
          <w:tblHeader/>
          <w:jc w:val="center"/>
        </w:trPr>
        <w:tc>
          <w:tcPr>
            <w:tcW w:w="1366"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76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Beginning</w:t>
            </w:r>
            <w:r>
              <w:rPr>
                <w:rFonts w:ascii="Times New Roman" w:eastAsia="宋体" w:hAnsi="Times New Roman" w:cs="Times New Roman" w:hint="eastAsia"/>
                <w:b/>
                <w:bCs/>
                <w:color w:val="000000"/>
                <w:kern w:val="0"/>
                <w:sz w:val="18"/>
                <w:szCs w:val="18"/>
              </w:rPr>
              <w:t xml:space="preserve"> </w:t>
            </w:r>
            <w:r>
              <w:rPr>
                <w:rFonts w:ascii="Times New Roman" w:eastAsia="宋体" w:hAnsi="Times New Roman" w:cs="Times New Roman"/>
                <w:b/>
                <w:bCs/>
                <w:color w:val="000000"/>
                <w:kern w:val="0"/>
                <w:sz w:val="18"/>
                <w:szCs w:val="18"/>
              </w:rPr>
              <w:t>balance</w:t>
            </w:r>
          </w:p>
        </w:tc>
        <w:tc>
          <w:tcPr>
            <w:tcW w:w="166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Addition</w:t>
            </w:r>
          </w:p>
        </w:tc>
        <w:tc>
          <w:tcPr>
            <w:tcW w:w="198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Amortization</w:t>
            </w:r>
          </w:p>
        </w:tc>
        <w:tc>
          <w:tcPr>
            <w:tcW w:w="2417"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Ending balance</w:t>
            </w:r>
          </w:p>
        </w:tc>
      </w:tr>
      <w:tr w:rsidR="000B609E">
        <w:trPr>
          <w:trHeight w:hRule="exact" w:val="454"/>
          <w:jc w:val="center"/>
        </w:trPr>
        <w:tc>
          <w:tcPr>
            <w:tcW w:w="136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Renovation fee</w:t>
            </w:r>
          </w:p>
        </w:tc>
        <w:tc>
          <w:tcPr>
            <w:tcW w:w="176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13,390,498.04</w:t>
            </w:r>
          </w:p>
        </w:tc>
        <w:tc>
          <w:tcPr>
            <w:tcW w:w="166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2,371,176.49</w:t>
            </w:r>
          </w:p>
        </w:tc>
        <w:tc>
          <w:tcPr>
            <w:tcW w:w="198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7,052,154.40</w:t>
            </w:r>
          </w:p>
        </w:tc>
        <w:tc>
          <w:tcPr>
            <w:tcW w:w="2417"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8,709,520.13</w:t>
            </w:r>
          </w:p>
        </w:tc>
      </w:tr>
      <w:tr w:rsidR="000B609E">
        <w:trPr>
          <w:trHeight w:hRule="exact" w:val="454"/>
          <w:jc w:val="center"/>
        </w:trPr>
        <w:tc>
          <w:tcPr>
            <w:tcW w:w="1366" w:type="dxa"/>
            <w:tcBorders>
              <w:top w:val="single" w:sz="4" w:space="0" w:color="auto"/>
              <w:bottom w:val="double" w:sz="4" w:space="0" w:color="auto"/>
              <w:right w:val="single" w:sz="4" w:space="0" w:color="auto"/>
            </w:tcBorders>
            <w:shd w:val="clear" w:color="auto" w:fill="auto"/>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Total</w:t>
            </w:r>
          </w:p>
        </w:tc>
        <w:tc>
          <w:tcPr>
            <w:tcW w:w="1761"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hint="eastAsia"/>
                <w:b/>
                <w:bCs/>
                <w:sz w:val="20"/>
                <w:szCs w:val="20"/>
              </w:rPr>
              <w:t>13,390,498.04</w:t>
            </w:r>
          </w:p>
        </w:tc>
        <w:tc>
          <w:tcPr>
            <w:tcW w:w="1661"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2,371,176.49</w:t>
            </w:r>
          </w:p>
        </w:tc>
        <w:tc>
          <w:tcPr>
            <w:tcW w:w="1987"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7,052,154.40</w:t>
            </w:r>
          </w:p>
        </w:tc>
        <w:tc>
          <w:tcPr>
            <w:tcW w:w="2417" w:type="dxa"/>
            <w:tcBorders>
              <w:top w:val="single" w:sz="4" w:space="0" w:color="auto"/>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8,709,520.13</w:t>
            </w:r>
          </w:p>
        </w:tc>
      </w:tr>
    </w:tbl>
    <w:p w:rsidR="000B609E" w:rsidRDefault="00B220E1">
      <w:pPr>
        <w:pStyle w:val="11"/>
        <w:spacing w:beforeLines="50" w:before="156" w:after="156" w:line="360" w:lineRule="auto"/>
        <w:ind w:leftChars="200" w:left="420" w:firstLineChars="0" w:firstLine="0"/>
        <w:rPr>
          <w:rFonts w:ascii="Times New Roman" w:hAnsi="Times New Roman" w:cs="Times New Roman"/>
          <w:sz w:val="24"/>
          <w:szCs w:val="24"/>
        </w:rPr>
      </w:pPr>
      <w:r>
        <w:rPr>
          <w:rFonts w:ascii="Times New Roman" w:hAnsi="Times New Roman" w:cs="Times New Roman" w:hint="eastAsia"/>
          <w:sz w:val="24"/>
          <w:szCs w:val="24"/>
        </w:rPr>
        <w:br w:type="page"/>
      </w:r>
    </w:p>
    <w:p w:rsidR="000B609E" w:rsidRDefault="00B220E1">
      <w:pPr>
        <w:pStyle w:val="11"/>
        <w:spacing w:beforeLines="50" w:before="156" w:after="156" w:line="360" w:lineRule="auto"/>
        <w:ind w:leftChars="200" w:left="420" w:firstLineChars="0" w:firstLine="0"/>
        <w:rPr>
          <w:rFonts w:ascii="Times New Roman" w:hAnsi="Times New Roman" w:cs="Times New Roman"/>
          <w:sz w:val="24"/>
          <w:szCs w:val="24"/>
        </w:rPr>
      </w:pPr>
      <w:r>
        <w:rPr>
          <w:rFonts w:ascii="Times New Roman" w:hAnsi="Times New Roman" w:cs="Times New Roman" w:hint="eastAsia"/>
          <w:sz w:val="24"/>
          <w:szCs w:val="24"/>
        </w:rPr>
        <w:lastRenderedPageBreak/>
        <w:t>The Bank:</w:t>
      </w:r>
    </w:p>
    <w:tbl>
      <w:tblPr>
        <w:tblW w:w="9192" w:type="dxa"/>
        <w:jc w:val="center"/>
        <w:tblLayout w:type="fixed"/>
        <w:tblLook w:val="04A0" w:firstRow="1" w:lastRow="0" w:firstColumn="1" w:lastColumn="0" w:noHBand="0" w:noVBand="1"/>
      </w:tblPr>
      <w:tblGrid>
        <w:gridCol w:w="1354"/>
        <w:gridCol w:w="1761"/>
        <w:gridCol w:w="1709"/>
        <w:gridCol w:w="1939"/>
        <w:gridCol w:w="2429"/>
      </w:tblGrid>
      <w:tr w:rsidR="000B609E">
        <w:trPr>
          <w:trHeight w:val="314"/>
          <w:tblHeader/>
          <w:jc w:val="center"/>
        </w:trPr>
        <w:tc>
          <w:tcPr>
            <w:tcW w:w="1354"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Items</w:t>
            </w:r>
          </w:p>
        </w:tc>
        <w:tc>
          <w:tcPr>
            <w:tcW w:w="7838" w:type="dxa"/>
            <w:gridSpan w:val="4"/>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val="282"/>
          <w:tblHeader/>
          <w:jc w:val="center"/>
        </w:trPr>
        <w:tc>
          <w:tcPr>
            <w:tcW w:w="1354"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76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Beginning</w:t>
            </w:r>
            <w:r>
              <w:rPr>
                <w:rFonts w:ascii="Times New Roman" w:eastAsia="宋体" w:hAnsi="Times New Roman" w:cs="Times New Roman" w:hint="eastAsia"/>
                <w:b/>
                <w:bCs/>
                <w:color w:val="000000"/>
                <w:kern w:val="0"/>
                <w:sz w:val="18"/>
                <w:szCs w:val="18"/>
              </w:rPr>
              <w:t xml:space="preserve"> </w:t>
            </w:r>
            <w:r>
              <w:rPr>
                <w:rFonts w:ascii="Times New Roman" w:eastAsia="宋体" w:hAnsi="Times New Roman" w:cs="Times New Roman"/>
                <w:b/>
                <w:bCs/>
                <w:color w:val="000000"/>
                <w:kern w:val="0"/>
                <w:sz w:val="18"/>
                <w:szCs w:val="18"/>
              </w:rPr>
              <w:t>balance</w:t>
            </w:r>
          </w:p>
        </w:tc>
        <w:tc>
          <w:tcPr>
            <w:tcW w:w="170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Addition</w:t>
            </w:r>
          </w:p>
        </w:tc>
        <w:tc>
          <w:tcPr>
            <w:tcW w:w="193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Amortization</w:t>
            </w:r>
          </w:p>
        </w:tc>
        <w:tc>
          <w:tcPr>
            <w:tcW w:w="242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Ending balance</w:t>
            </w:r>
          </w:p>
        </w:tc>
      </w:tr>
      <w:tr w:rsidR="000B609E">
        <w:trPr>
          <w:trHeight w:hRule="exact" w:val="454"/>
          <w:jc w:val="center"/>
        </w:trPr>
        <w:tc>
          <w:tcPr>
            <w:tcW w:w="135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Renovation fee</w:t>
            </w:r>
          </w:p>
        </w:tc>
        <w:tc>
          <w:tcPr>
            <w:tcW w:w="176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13,240,000.00</w:t>
            </w:r>
          </w:p>
        </w:tc>
        <w:tc>
          <w:tcPr>
            <w:tcW w:w="170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1,728,900.89</w:t>
            </w:r>
          </w:p>
        </w:tc>
        <w:tc>
          <w:tcPr>
            <w:tcW w:w="193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6,823,097.85</w:t>
            </w:r>
          </w:p>
        </w:tc>
        <w:tc>
          <w:tcPr>
            <w:tcW w:w="242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8,145,803.04</w:t>
            </w:r>
          </w:p>
        </w:tc>
      </w:tr>
      <w:tr w:rsidR="000B609E">
        <w:trPr>
          <w:trHeight w:hRule="exact" w:val="454"/>
          <w:jc w:val="center"/>
        </w:trPr>
        <w:tc>
          <w:tcPr>
            <w:tcW w:w="1354" w:type="dxa"/>
            <w:tcBorders>
              <w:top w:val="single" w:sz="4" w:space="0" w:color="auto"/>
              <w:bottom w:val="double" w:sz="4" w:space="0" w:color="auto"/>
              <w:right w:val="single" w:sz="4" w:space="0" w:color="auto"/>
            </w:tcBorders>
            <w:shd w:val="clear" w:color="auto" w:fill="auto"/>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Total</w:t>
            </w:r>
          </w:p>
        </w:tc>
        <w:tc>
          <w:tcPr>
            <w:tcW w:w="1761"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hint="eastAsia"/>
                <w:b/>
                <w:bCs/>
                <w:sz w:val="20"/>
                <w:szCs w:val="20"/>
              </w:rPr>
              <w:t>13,240,000.00</w:t>
            </w:r>
          </w:p>
        </w:tc>
        <w:tc>
          <w:tcPr>
            <w:tcW w:w="1709"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1,728,900.89</w:t>
            </w:r>
          </w:p>
        </w:tc>
        <w:tc>
          <w:tcPr>
            <w:tcW w:w="1939"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6,823,097.85</w:t>
            </w:r>
          </w:p>
        </w:tc>
        <w:tc>
          <w:tcPr>
            <w:tcW w:w="2429" w:type="dxa"/>
            <w:tcBorders>
              <w:top w:val="single" w:sz="4" w:space="0" w:color="auto"/>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8,145,803.04</w:t>
            </w:r>
          </w:p>
        </w:tc>
      </w:tr>
    </w:tbl>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17. Provision for asset impairment</w:t>
      </w:r>
    </w:p>
    <w:p w:rsidR="000B609E" w:rsidRDefault="00B220E1">
      <w:pPr>
        <w:pStyle w:val="11"/>
        <w:numPr>
          <w:ilvl w:val="0"/>
          <w:numId w:val="30"/>
        </w:numPr>
        <w:spacing w:afterLines="0" w:after="0"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The Group:</w:t>
      </w:r>
    </w:p>
    <w:tbl>
      <w:tblPr>
        <w:tblW w:w="9691" w:type="dxa"/>
        <w:jc w:val="center"/>
        <w:tblLayout w:type="fixed"/>
        <w:tblLook w:val="04A0" w:firstRow="1" w:lastRow="0" w:firstColumn="1" w:lastColumn="0" w:noHBand="0" w:noVBand="1"/>
      </w:tblPr>
      <w:tblGrid>
        <w:gridCol w:w="1111"/>
        <w:gridCol w:w="1797"/>
        <w:gridCol w:w="1296"/>
        <w:gridCol w:w="1296"/>
        <w:gridCol w:w="876"/>
        <w:gridCol w:w="1284"/>
        <w:gridCol w:w="654"/>
        <w:gridCol w:w="1377"/>
      </w:tblGrid>
      <w:tr w:rsidR="000B609E">
        <w:trPr>
          <w:trHeight w:val="275"/>
          <w:tblHeader/>
          <w:jc w:val="center"/>
        </w:trPr>
        <w:tc>
          <w:tcPr>
            <w:tcW w:w="1111" w:type="dxa"/>
            <w:vMerge w:val="restart"/>
            <w:tcBorders>
              <w:top w:val="double" w:sz="4" w:space="0" w:color="auto"/>
              <w:bottom w:val="single" w:sz="4" w:space="0" w:color="000000"/>
              <w:right w:val="single" w:sz="4" w:space="0" w:color="auto"/>
            </w:tcBorders>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color w:val="000000"/>
                <w:kern w:val="0"/>
                <w:sz w:val="18"/>
                <w:szCs w:val="18"/>
              </w:rPr>
              <w:t>Items</w:t>
            </w:r>
          </w:p>
        </w:tc>
        <w:tc>
          <w:tcPr>
            <w:tcW w:w="1797" w:type="dxa"/>
            <w:vMerge w:val="restart"/>
            <w:tcBorders>
              <w:top w:val="double" w:sz="4" w:space="0" w:color="auto"/>
              <w:left w:val="single" w:sz="4" w:space="0" w:color="auto"/>
              <w:bottom w:val="single" w:sz="4" w:space="0" w:color="auto"/>
              <w:right w:val="single" w:sz="4" w:space="0" w:color="auto"/>
            </w:tcBorders>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Beginning balance</w:t>
            </w:r>
          </w:p>
        </w:tc>
        <w:tc>
          <w:tcPr>
            <w:tcW w:w="2592" w:type="dxa"/>
            <w:gridSpan w:val="2"/>
            <w:tcBorders>
              <w:top w:val="double" w:sz="4" w:space="0" w:color="auto"/>
              <w:left w:val="nil"/>
              <w:bottom w:val="single" w:sz="4" w:space="0" w:color="auto"/>
              <w:right w:val="single" w:sz="4" w:space="0" w:color="auto"/>
            </w:tcBorders>
            <w:vAlign w:val="center"/>
          </w:tcPr>
          <w:p w:rsidR="000B609E" w:rsidRDefault="00B220E1">
            <w:pPr>
              <w:spacing w:afterLines="0" w:after="0"/>
              <w:ind w:firstLine="328"/>
              <w:jc w:val="center"/>
              <w:rPr>
                <w:rFonts w:ascii="宋体" w:hAnsi="宋体" w:cs="宋体"/>
                <w:b/>
                <w:bCs/>
                <w:w w:val="90"/>
              </w:rPr>
            </w:pPr>
            <w:r>
              <w:rPr>
                <w:rFonts w:ascii="Times New Roman" w:eastAsia="宋体" w:hAnsi="Times New Roman" w:cs="Times New Roman"/>
                <w:b/>
                <w:bCs/>
                <w:w w:val="90"/>
                <w:kern w:val="0"/>
                <w:sz w:val="18"/>
                <w:szCs w:val="18"/>
              </w:rPr>
              <w:t>Increase in current year</w:t>
            </w:r>
          </w:p>
        </w:tc>
        <w:tc>
          <w:tcPr>
            <w:tcW w:w="2814" w:type="dxa"/>
            <w:gridSpan w:val="3"/>
            <w:tcBorders>
              <w:top w:val="double" w:sz="4" w:space="0" w:color="auto"/>
              <w:left w:val="nil"/>
              <w:bottom w:val="single" w:sz="4" w:space="0" w:color="auto"/>
              <w:right w:val="single" w:sz="4" w:space="0" w:color="auto"/>
            </w:tcBorders>
            <w:vAlign w:val="center"/>
          </w:tcPr>
          <w:p w:rsidR="000B609E" w:rsidRDefault="00B220E1">
            <w:pPr>
              <w:spacing w:afterLines="0" w:after="0"/>
              <w:ind w:firstLine="328"/>
              <w:jc w:val="center"/>
              <w:rPr>
                <w:rFonts w:ascii="宋体" w:hAnsi="宋体" w:cs="宋体"/>
                <w:b/>
                <w:bCs/>
                <w:color w:val="000000"/>
              </w:rPr>
            </w:pPr>
            <w:r>
              <w:rPr>
                <w:rFonts w:ascii="Times New Roman" w:eastAsia="宋体" w:hAnsi="Times New Roman" w:cs="Times New Roman"/>
                <w:b/>
                <w:bCs/>
                <w:w w:val="90"/>
                <w:kern w:val="0"/>
                <w:sz w:val="18"/>
                <w:szCs w:val="18"/>
              </w:rPr>
              <w:t>Decrease in current year</w:t>
            </w:r>
          </w:p>
        </w:tc>
        <w:tc>
          <w:tcPr>
            <w:tcW w:w="1377" w:type="dxa"/>
            <w:vMerge w:val="restart"/>
            <w:tcBorders>
              <w:top w:val="double" w:sz="4" w:space="0" w:color="auto"/>
              <w:left w:val="single" w:sz="4" w:space="0" w:color="auto"/>
              <w:bottom w:val="single" w:sz="4" w:space="0" w:color="auto"/>
            </w:tcBorders>
            <w:vAlign w:val="center"/>
          </w:tcPr>
          <w:p w:rsidR="000B609E" w:rsidRDefault="00B220E1">
            <w:pPr>
              <w:spacing w:afterLines="0" w:after="0"/>
              <w:ind w:firstLineChars="0" w:firstLine="0"/>
              <w:jc w:val="center"/>
              <w:rPr>
                <w:rFonts w:ascii="宋体" w:hAnsi="宋体" w:cs="宋体"/>
                <w:b/>
                <w:bCs/>
                <w:w w:val="90"/>
              </w:rPr>
            </w:pPr>
            <w:r>
              <w:rPr>
                <w:rFonts w:ascii="Times New Roman" w:eastAsia="宋体" w:hAnsi="Times New Roman" w:cs="Times New Roman"/>
                <w:b/>
                <w:bCs/>
                <w:w w:val="90"/>
                <w:kern w:val="0"/>
                <w:sz w:val="18"/>
                <w:szCs w:val="18"/>
              </w:rPr>
              <w:t>Ending balance</w:t>
            </w:r>
          </w:p>
        </w:tc>
      </w:tr>
      <w:tr w:rsidR="000B609E">
        <w:trPr>
          <w:trHeight w:val="656"/>
          <w:tblHeader/>
          <w:jc w:val="center"/>
        </w:trPr>
        <w:tc>
          <w:tcPr>
            <w:tcW w:w="1111" w:type="dxa"/>
            <w:vMerge/>
            <w:tcBorders>
              <w:top w:val="single" w:sz="4" w:space="0" w:color="auto"/>
              <w:bottom w:val="single" w:sz="4" w:space="0" w:color="000000"/>
              <w:right w:val="single" w:sz="4" w:space="0" w:color="auto"/>
            </w:tcBorders>
            <w:vAlign w:val="center"/>
          </w:tcPr>
          <w:p w:rsidR="000B609E" w:rsidRDefault="000B609E">
            <w:pPr>
              <w:spacing w:afterLines="0" w:after="0"/>
              <w:ind w:firstLine="382"/>
              <w:jc w:val="center"/>
              <w:rPr>
                <w:rFonts w:ascii="宋体" w:hAnsi="宋体" w:cs="宋体"/>
                <w:b/>
                <w:bCs/>
                <w:w w:val="90"/>
              </w:rPr>
            </w:pPr>
          </w:p>
        </w:tc>
        <w:tc>
          <w:tcPr>
            <w:tcW w:w="1797" w:type="dxa"/>
            <w:vMerge/>
            <w:tcBorders>
              <w:top w:val="single" w:sz="4" w:space="0" w:color="auto"/>
              <w:left w:val="single" w:sz="4" w:space="0" w:color="auto"/>
              <w:bottom w:val="single" w:sz="4" w:space="0" w:color="auto"/>
              <w:right w:val="single" w:sz="4" w:space="0" w:color="auto"/>
            </w:tcBorders>
            <w:vAlign w:val="center"/>
          </w:tcPr>
          <w:p w:rsidR="000B609E" w:rsidRDefault="000B609E">
            <w:pPr>
              <w:spacing w:afterLines="0" w:after="0"/>
              <w:ind w:firstLine="382"/>
              <w:jc w:val="center"/>
              <w:rPr>
                <w:rFonts w:ascii="宋体" w:hAnsi="宋体" w:cs="宋体"/>
                <w:b/>
                <w:bCs/>
                <w:w w:val="90"/>
              </w:rPr>
            </w:pPr>
          </w:p>
        </w:tc>
        <w:tc>
          <w:tcPr>
            <w:tcW w:w="1296"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Provision</w:t>
            </w:r>
          </w:p>
        </w:tc>
        <w:tc>
          <w:tcPr>
            <w:tcW w:w="1296"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Other</w:t>
            </w:r>
          </w:p>
        </w:tc>
        <w:tc>
          <w:tcPr>
            <w:tcW w:w="876"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Recovery of asset value</w:t>
            </w:r>
          </w:p>
        </w:tc>
        <w:tc>
          <w:tcPr>
            <w:tcW w:w="1284"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Write-off</w:t>
            </w:r>
          </w:p>
        </w:tc>
        <w:tc>
          <w:tcPr>
            <w:tcW w:w="654"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Other</w:t>
            </w:r>
          </w:p>
        </w:tc>
        <w:tc>
          <w:tcPr>
            <w:tcW w:w="1377" w:type="dxa"/>
            <w:vMerge/>
            <w:tcBorders>
              <w:top w:val="single" w:sz="4" w:space="0" w:color="auto"/>
              <w:left w:val="single" w:sz="4" w:space="0" w:color="auto"/>
              <w:bottom w:val="single" w:sz="4" w:space="0" w:color="auto"/>
            </w:tcBorders>
            <w:vAlign w:val="center"/>
          </w:tcPr>
          <w:p w:rsidR="000B609E" w:rsidRDefault="000B609E">
            <w:pPr>
              <w:spacing w:afterLines="0" w:after="0"/>
              <w:ind w:firstLine="382"/>
              <w:jc w:val="center"/>
              <w:rPr>
                <w:rFonts w:ascii="宋体" w:hAnsi="宋体" w:cs="宋体"/>
                <w:b/>
                <w:bCs/>
                <w:w w:val="90"/>
              </w:rPr>
            </w:pPr>
          </w:p>
        </w:tc>
      </w:tr>
      <w:tr w:rsidR="000B609E">
        <w:trPr>
          <w:trHeight w:hRule="exact" w:val="2020"/>
          <w:jc w:val="center"/>
        </w:trPr>
        <w:tc>
          <w:tcPr>
            <w:tcW w:w="1111"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宋体" w:hAnsi="宋体" w:cs="宋体"/>
              </w:rPr>
            </w:pPr>
            <w:r>
              <w:rPr>
                <w:rFonts w:ascii="Times New Roman" w:eastAsia="宋体" w:hAnsi="Times New Roman" w:cs="Times New Roman" w:hint="eastAsia"/>
                <w:kern w:val="0"/>
                <w:sz w:val="18"/>
                <w:szCs w:val="18"/>
              </w:rPr>
              <w:t xml:space="preserve"> Due from banks and other financial institutions</w:t>
            </w:r>
          </w:p>
        </w:tc>
        <w:tc>
          <w:tcPr>
            <w:tcW w:w="1797"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63,530.61</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63,530.61</w:t>
            </w:r>
          </w:p>
        </w:tc>
      </w:tr>
      <w:tr w:rsidR="000B609E">
        <w:trPr>
          <w:trHeight w:hRule="exact" w:val="711"/>
          <w:jc w:val="center"/>
        </w:trPr>
        <w:tc>
          <w:tcPr>
            <w:tcW w:w="1111"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宋体" w:hAnsi="宋体" w:cs="宋体"/>
              </w:rPr>
            </w:pPr>
            <w:r>
              <w:rPr>
                <w:rFonts w:ascii="Times New Roman" w:eastAsia="宋体" w:hAnsi="Times New Roman" w:cs="Times New Roman" w:hint="eastAsia"/>
                <w:kern w:val="0"/>
                <w:sz w:val="18"/>
                <w:szCs w:val="18"/>
              </w:rPr>
              <w:t>Lending funds</w:t>
            </w:r>
          </w:p>
        </w:tc>
        <w:tc>
          <w:tcPr>
            <w:tcW w:w="1797"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 xml:space="preserve"> 76,111,558.60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 xml:space="preserve">-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76,111,558.60</w:t>
            </w:r>
          </w:p>
        </w:tc>
      </w:tr>
      <w:tr w:rsidR="000B609E">
        <w:trPr>
          <w:trHeight w:hRule="exact" w:val="1464"/>
          <w:jc w:val="center"/>
        </w:trPr>
        <w:tc>
          <w:tcPr>
            <w:tcW w:w="1111"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宋体" w:hAnsi="宋体" w:cs="宋体"/>
              </w:rPr>
            </w:pPr>
            <w:r>
              <w:rPr>
                <w:rFonts w:ascii="Times New Roman" w:eastAsia="宋体" w:hAnsi="Times New Roman" w:cs="Times New Roman" w:hint="eastAsia"/>
                <w:kern w:val="0"/>
                <w:sz w:val="18"/>
                <w:szCs w:val="18"/>
              </w:rPr>
              <w:t>Loans and advances to customers</w:t>
            </w:r>
          </w:p>
        </w:tc>
        <w:tc>
          <w:tcPr>
            <w:tcW w:w="1797"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 xml:space="preserve">1,404,786,613.52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174,878,159.97</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232,789,093.84</w:t>
            </w:r>
          </w:p>
        </w:tc>
        <w:tc>
          <w:tcPr>
            <w:tcW w:w="876" w:type="dxa"/>
            <w:tcBorders>
              <w:top w:val="nil"/>
              <w:left w:val="nil"/>
              <w:bottom w:val="single" w:sz="4" w:space="0" w:color="auto"/>
              <w:right w:val="single" w:sz="4" w:space="0" w:color="auto"/>
            </w:tcBorders>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510,898,524.71</w:t>
            </w:r>
          </w:p>
        </w:tc>
        <w:tc>
          <w:tcPr>
            <w:tcW w:w="654" w:type="dxa"/>
            <w:tcBorders>
              <w:top w:val="nil"/>
              <w:left w:val="nil"/>
              <w:bottom w:val="single" w:sz="4" w:space="0" w:color="auto"/>
              <w:right w:val="single" w:sz="4" w:space="0" w:color="auto"/>
            </w:tcBorders>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1,301,555,342.62</w:t>
            </w:r>
          </w:p>
        </w:tc>
      </w:tr>
      <w:tr w:rsidR="000B609E">
        <w:trPr>
          <w:trHeight w:hRule="exact" w:val="919"/>
          <w:jc w:val="center"/>
        </w:trPr>
        <w:tc>
          <w:tcPr>
            <w:tcW w:w="1111"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Other debt investments </w:t>
            </w:r>
          </w:p>
        </w:tc>
        <w:tc>
          <w:tcPr>
            <w:tcW w:w="1797"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hAnsi="Arial Narrow" w:cs="Calibri"/>
                <w:color w:val="000000"/>
                <w:sz w:val="18"/>
                <w:szCs w:val="18"/>
              </w:rPr>
            </w:pPr>
            <w:r>
              <w:rPr>
                <w:rFonts w:ascii="Arial Narrow" w:hAnsi="Arial Narrow" w:cs="Calibri" w:hint="eastAsia"/>
                <w:color w:val="000000"/>
                <w:sz w:val="18"/>
                <w:szCs w:val="18"/>
              </w:rPr>
              <w:t>-</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hAnsi="Arial Narrow" w:cs="Calibri"/>
                <w:color w:val="000000"/>
                <w:sz w:val="18"/>
                <w:szCs w:val="18"/>
              </w:rPr>
            </w:pPr>
            <w:r>
              <w:rPr>
                <w:rFonts w:ascii="Arial Narrow" w:hAnsi="Arial Narrow" w:cs="Calibri"/>
                <w:color w:val="000000"/>
                <w:sz w:val="18"/>
                <w:szCs w:val="18"/>
              </w:rPr>
              <w:t>293,660.08</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hAnsi="Arial Narrow" w:cs="Calibri"/>
                <w:color w:val="00000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hAnsi="Arial Narrow" w:cs="Calibri"/>
                <w:color w:val="00000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hAnsi="Arial Narrow" w:cs="Calibri"/>
                <w:color w:val="000000"/>
                <w:sz w:val="18"/>
                <w:szCs w:val="18"/>
              </w:rPr>
            </w:pPr>
            <w:r>
              <w:rPr>
                <w:rFonts w:ascii="Arial Narrow" w:hAnsi="Arial Narrow" w:cs="Calibri"/>
                <w:color w:val="000000"/>
                <w:sz w:val="18"/>
                <w:szCs w:val="18"/>
              </w:rPr>
              <w:t>293,660.08</w:t>
            </w:r>
          </w:p>
        </w:tc>
      </w:tr>
      <w:tr w:rsidR="000B609E">
        <w:trPr>
          <w:trHeight w:hRule="exact" w:val="655"/>
          <w:jc w:val="center"/>
        </w:trPr>
        <w:tc>
          <w:tcPr>
            <w:tcW w:w="1111"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宋体" w:eastAsia="宋体" w:hAnsi="宋体" w:cs="宋体"/>
              </w:rPr>
            </w:pPr>
            <w:r>
              <w:rPr>
                <w:rFonts w:ascii="Times New Roman" w:eastAsia="宋体" w:hAnsi="Times New Roman" w:cs="Times New Roman" w:hint="eastAsia"/>
                <w:kern w:val="0"/>
                <w:sz w:val="18"/>
                <w:szCs w:val="18"/>
              </w:rPr>
              <w:t>Debt</w:t>
            </w:r>
            <w:r>
              <w:rPr>
                <w:rFonts w:ascii="Times New Roman" w:eastAsia="宋体" w:hAnsi="Times New Roman" w:cs="Times New Roman" w:hint="eastAsia"/>
                <w:kern w:val="0"/>
                <w:sz w:val="18"/>
                <w:szCs w:val="18"/>
              </w:rPr>
              <w:t> </w:t>
            </w:r>
            <w:r>
              <w:rPr>
                <w:rFonts w:ascii="Times New Roman" w:eastAsia="宋体" w:hAnsi="Times New Roman" w:cs="Times New Roman" w:hint="eastAsia"/>
                <w:kern w:val="0"/>
                <w:sz w:val="18"/>
                <w:szCs w:val="18"/>
              </w:rPr>
              <w:t>investments</w:t>
            </w:r>
          </w:p>
        </w:tc>
        <w:tc>
          <w:tcPr>
            <w:tcW w:w="1797"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 xml:space="preserve"> 8,508,761.20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3,145,212.70</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11,653,973.90</w:t>
            </w:r>
          </w:p>
        </w:tc>
      </w:tr>
      <w:tr w:rsidR="000B609E">
        <w:trPr>
          <w:trHeight w:hRule="exact" w:val="907"/>
          <w:jc w:val="center"/>
        </w:trPr>
        <w:tc>
          <w:tcPr>
            <w:tcW w:w="1111" w:type="dxa"/>
            <w:tcBorders>
              <w:top w:val="nil"/>
              <w:bottom w:val="single" w:sz="4" w:space="0" w:color="auto"/>
              <w:right w:val="single" w:sz="4" w:space="0" w:color="auto"/>
            </w:tcBorders>
            <w:vAlign w:val="center"/>
          </w:tcPr>
          <w:p w:rsidR="000B609E" w:rsidRDefault="00B220E1">
            <w:pPr>
              <w:spacing w:afterLines="0" w:after="0"/>
              <w:ind w:firstLineChars="0" w:firstLine="0"/>
              <w:rPr>
                <w:rFonts w:ascii="宋体" w:hAnsi="宋体" w:cs="宋体"/>
              </w:rPr>
            </w:pPr>
            <w:r>
              <w:rPr>
                <w:rFonts w:ascii="Times New Roman" w:eastAsia="宋体" w:hAnsi="Times New Roman" w:cs="Times New Roman" w:hint="eastAsia"/>
                <w:kern w:val="0"/>
                <w:sz w:val="18"/>
                <w:szCs w:val="18"/>
              </w:rPr>
              <w:t>off balance sheet credit assets</w:t>
            </w:r>
          </w:p>
        </w:tc>
        <w:tc>
          <w:tcPr>
            <w:tcW w:w="1797"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 xml:space="preserve"> 6,633,377.76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-3,710,720.90</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2,922,656.86</w:t>
            </w:r>
          </w:p>
        </w:tc>
      </w:tr>
      <w:tr w:rsidR="000B609E">
        <w:trPr>
          <w:trHeight w:hRule="exact" w:val="454"/>
          <w:jc w:val="center"/>
        </w:trPr>
        <w:tc>
          <w:tcPr>
            <w:tcW w:w="1111" w:type="dxa"/>
            <w:tcBorders>
              <w:top w:val="nil"/>
              <w:bottom w:val="single" w:sz="4" w:space="0" w:color="auto"/>
              <w:right w:val="single" w:sz="4" w:space="0" w:color="auto"/>
            </w:tcBorders>
            <w:vAlign w:val="center"/>
          </w:tcPr>
          <w:p w:rsidR="000B609E" w:rsidRDefault="00B220E1">
            <w:pPr>
              <w:spacing w:afterLines="0" w:after="0"/>
              <w:ind w:firstLineChars="0" w:firstLine="0"/>
              <w:rPr>
                <w:rFonts w:ascii="宋体" w:hAnsi="宋体" w:cs="宋体"/>
              </w:rPr>
            </w:pPr>
            <w:r>
              <w:rPr>
                <w:rFonts w:ascii="Times New Roman" w:eastAsia="宋体" w:hAnsi="Times New Roman" w:cs="Times New Roman" w:hint="eastAsia"/>
                <w:kern w:val="0"/>
                <w:sz w:val="18"/>
                <w:szCs w:val="18"/>
              </w:rPr>
              <w:t>Other assets</w:t>
            </w:r>
          </w:p>
        </w:tc>
        <w:tc>
          <w:tcPr>
            <w:tcW w:w="1797"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 xml:space="preserve"> 12,313,339.60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-2,124,610.84</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10,188,728.76</w:t>
            </w:r>
          </w:p>
        </w:tc>
      </w:tr>
      <w:tr w:rsidR="000B609E">
        <w:trPr>
          <w:trHeight w:hRule="exact" w:val="454"/>
          <w:jc w:val="center"/>
        </w:trPr>
        <w:tc>
          <w:tcPr>
            <w:tcW w:w="1111" w:type="dxa"/>
            <w:tcBorders>
              <w:top w:val="nil"/>
              <w:bottom w:val="double" w:sz="4" w:space="0" w:color="auto"/>
              <w:right w:val="single" w:sz="4" w:space="0" w:color="auto"/>
            </w:tcBorders>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Total</w:t>
            </w:r>
          </w:p>
        </w:tc>
        <w:tc>
          <w:tcPr>
            <w:tcW w:w="1797"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Calibri" w:hint="eastAsia"/>
                <w:b/>
                <w:bCs/>
                <w:color w:val="000000"/>
                <w:sz w:val="18"/>
                <w:szCs w:val="18"/>
              </w:rPr>
              <w:t xml:space="preserve">1,508,353,650.68 </w:t>
            </w:r>
          </w:p>
        </w:tc>
        <w:tc>
          <w:tcPr>
            <w:tcW w:w="1296"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b/>
                <w:bCs/>
                <w:sz w:val="18"/>
                <w:szCs w:val="18"/>
              </w:rPr>
              <w:t>172,545,231.62</w:t>
            </w:r>
          </w:p>
        </w:tc>
        <w:tc>
          <w:tcPr>
            <w:tcW w:w="1296"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b/>
                <w:bCs/>
                <w:sz w:val="18"/>
                <w:szCs w:val="18"/>
              </w:rPr>
              <w:t>232,789,093.84</w:t>
            </w:r>
          </w:p>
        </w:tc>
        <w:tc>
          <w:tcPr>
            <w:tcW w:w="876"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hint="eastAsia"/>
                <w:b/>
                <w:bCs/>
                <w:sz w:val="18"/>
                <w:szCs w:val="18"/>
              </w:rPr>
              <w:t>-</w:t>
            </w:r>
          </w:p>
        </w:tc>
        <w:tc>
          <w:tcPr>
            <w:tcW w:w="1284"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b/>
                <w:bCs/>
                <w:sz w:val="18"/>
                <w:szCs w:val="18"/>
              </w:rPr>
              <w:t>510,898,524.71</w:t>
            </w:r>
          </w:p>
        </w:tc>
        <w:tc>
          <w:tcPr>
            <w:tcW w:w="654" w:type="dxa"/>
            <w:tcBorders>
              <w:top w:val="nil"/>
              <w:left w:val="nil"/>
              <w:bottom w:val="double" w:sz="4" w:space="0" w:color="auto"/>
              <w:right w:val="single" w:sz="4" w:space="0" w:color="auto"/>
            </w:tcBorders>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hint="eastAsia"/>
                <w:b/>
                <w:bCs/>
                <w:sz w:val="18"/>
                <w:szCs w:val="18"/>
              </w:rPr>
              <w:t>-</w:t>
            </w:r>
            <w:r w:rsidR="00B220E1">
              <w:rPr>
                <w:rFonts w:ascii="Arial Narrow" w:hAnsi="Arial Narrow" w:hint="eastAsia"/>
                <w:b/>
                <w:bCs/>
                <w:sz w:val="18"/>
                <w:szCs w:val="18"/>
              </w:rPr>
              <w:t xml:space="preserve">  </w:t>
            </w:r>
          </w:p>
        </w:tc>
        <w:tc>
          <w:tcPr>
            <w:tcW w:w="1377" w:type="dxa"/>
            <w:tcBorders>
              <w:top w:val="nil"/>
              <w:left w:val="nil"/>
              <w:bottom w:val="doub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Calibri"/>
                <w:b/>
                <w:bCs/>
                <w:color w:val="000000"/>
                <w:sz w:val="18"/>
                <w:szCs w:val="18"/>
              </w:rPr>
              <w:t>1,402,789,451.43</w:t>
            </w:r>
          </w:p>
        </w:tc>
      </w:tr>
    </w:tbl>
    <w:p w:rsidR="000B609E" w:rsidRDefault="00B220E1">
      <w:pPr>
        <w:pStyle w:val="11"/>
        <w:numPr>
          <w:ilvl w:val="0"/>
          <w:numId w:val="30"/>
        </w:numPr>
        <w:spacing w:beforeLines="50" w:before="156" w:afterLines="0" w:after="0"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The Bank:</w:t>
      </w:r>
    </w:p>
    <w:p w:rsidR="000B609E" w:rsidRDefault="00B220E1">
      <w:pPr>
        <w:pStyle w:val="11"/>
        <w:spacing w:after="156" w:line="360" w:lineRule="auto"/>
        <w:ind w:firstLineChars="0" w:firstLine="0"/>
        <w:rPr>
          <w:rFonts w:ascii="Times New Roman" w:hAnsi="Times New Roman" w:cs="Times New Roman"/>
          <w:sz w:val="24"/>
          <w:szCs w:val="24"/>
        </w:rPr>
      </w:pPr>
      <w:r>
        <w:rPr>
          <w:rFonts w:ascii="Times New Roman" w:hAnsi="Times New Roman" w:cs="Times New Roman"/>
          <w:sz w:val="24"/>
          <w:szCs w:val="24"/>
        </w:rPr>
        <w:br w:type="page"/>
      </w:r>
    </w:p>
    <w:tbl>
      <w:tblPr>
        <w:tblW w:w="9691" w:type="dxa"/>
        <w:jc w:val="center"/>
        <w:tblLayout w:type="fixed"/>
        <w:tblLook w:val="04A0" w:firstRow="1" w:lastRow="0" w:firstColumn="1" w:lastColumn="0" w:noHBand="0" w:noVBand="1"/>
      </w:tblPr>
      <w:tblGrid>
        <w:gridCol w:w="1516"/>
        <w:gridCol w:w="1392"/>
        <w:gridCol w:w="1296"/>
        <w:gridCol w:w="1296"/>
        <w:gridCol w:w="876"/>
        <w:gridCol w:w="1284"/>
        <w:gridCol w:w="654"/>
        <w:gridCol w:w="1377"/>
      </w:tblGrid>
      <w:tr w:rsidR="000B609E">
        <w:trPr>
          <w:trHeight w:val="275"/>
          <w:tblHeader/>
          <w:jc w:val="center"/>
        </w:trPr>
        <w:tc>
          <w:tcPr>
            <w:tcW w:w="1516" w:type="dxa"/>
            <w:vMerge w:val="restart"/>
            <w:tcBorders>
              <w:top w:val="double" w:sz="4" w:space="0" w:color="auto"/>
              <w:bottom w:val="single" w:sz="4" w:space="0" w:color="000000"/>
              <w:right w:val="single" w:sz="4" w:space="0" w:color="auto"/>
            </w:tcBorders>
            <w:vAlign w:val="center"/>
          </w:tcPr>
          <w:p w:rsidR="000B609E" w:rsidRDefault="00B220E1">
            <w:pPr>
              <w:pStyle w:val="11"/>
              <w:spacing w:afterLines="0" w:after="0"/>
              <w:ind w:firstLineChars="0" w:firstLine="0"/>
              <w:jc w:val="center"/>
              <w:rPr>
                <w:rFonts w:ascii="宋体" w:hAnsi="宋体" w:cs="宋体"/>
                <w:b/>
                <w:bCs/>
                <w:color w:val="000000"/>
              </w:rPr>
            </w:pPr>
            <w:r>
              <w:rPr>
                <w:rFonts w:ascii="Times New Roman" w:hAnsi="Times New Roman" w:cs="Times New Roman" w:hint="eastAsia"/>
                <w:b/>
                <w:sz w:val="18"/>
                <w:szCs w:val="18"/>
              </w:rPr>
              <w:lastRenderedPageBreak/>
              <w:t>Items</w:t>
            </w:r>
          </w:p>
        </w:tc>
        <w:tc>
          <w:tcPr>
            <w:tcW w:w="1392" w:type="dxa"/>
            <w:vMerge w:val="restart"/>
            <w:tcBorders>
              <w:top w:val="double" w:sz="4" w:space="0" w:color="auto"/>
              <w:left w:val="single" w:sz="4" w:space="0" w:color="auto"/>
              <w:bottom w:val="single" w:sz="4" w:space="0" w:color="auto"/>
              <w:right w:val="single" w:sz="4" w:space="0" w:color="auto"/>
            </w:tcBorders>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Beginning balance</w:t>
            </w:r>
          </w:p>
        </w:tc>
        <w:tc>
          <w:tcPr>
            <w:tcW w:w="2592" w:type="dxa"/>
            <w:gridSpan w:val="2"/>
            <w:tcBorders>
              <w:top w:val="double" w:sz="4" w:space="0" w:color="auto"/>
              <w:left w:val="nil"/>
              <w:bottom w:val="single" w:sz="4" w:space="0" w:color="auto"/>
              <w:right w:val="single" w:sz="4" w:space="0" w:color="auto"/>
            </w:tcBorders>
            <w:vAlign w:val="center"/>
          </w:tcPr>
          <w:p w:rsidR="000B609E" w:rsidRDefault="00B220E1">
            <w:pPr>
              <w:spacing w:afterLines="0" w:after="0"/>
              <w:ind w:firstLine="328"/>
              <w:jc w:val="center"/>
              <w:rPr>
                <w:rFonts w:ascii="宋体" w:hAnsi="宋体" w:cs="宋体"/>
                <w:b/>
                <w:bCs/>
                <w:w w:val="90"/>
              </w:rPr>
            </w:pPr>
            <w:r>
              <w:rPr>
                <w:rFonts w:ascii="Times New Roman" w:eastAsia="宋体" w:hAnsi="Times New Roman" w:cs="Times New Roman"/>
                <w:b/>
                <w:bCs/>
                <w:w w:val="90"/>
                <w:kern w:val="0"/>
                <w:sz w:val="18"/>
                <w:szCs w:val="18"/>
              </w:rPr>
              <w:t>Increase in current year</w:t>
            </w:r>
          </w:p>
        </w:tc>
        <w:tc>
          <w:tcPr>
            <w:tcW w:w="2814" w:type="dxa"/>
            <w:gridSpan w:val="3"/>
            <w:tcBorders>
              <w:top w:val="double" w:sz="4" w:space="0" w:color="auto"/>
              <w:left w:val="nil"/>
              <w:bottom w:val="single" w:sz="4" w:space="0" w:color="auto"/>
              <w:right w:val="single" w:sz="4" w:space="0" w:color="auto"/>
            </w:tcBorders>
            <w:vAlign w:val="center"/>
          </w:tcPr>
          <w:p w:rsidR="000B609E" w:rsidRDefault="00B220E1">
            <w:pPr>
              <w:spacing w:afterLines="0" w:after="0"/>
              <w:ind w:firstLine="328"/>
              <w:jc w:val="center"/>
              <w:rPr>
                <w:rFonts w:ascii="宋体" w:hAnsi="宋体" w:cs="宋体"/>
                <w:b/>
                <w:bCs/>
                <w:color w:val="000000"/>
              </w:rPr>
            </w:pPr>
            <w:r>
              <w:rPr>
                <w:rFonts w:ascii="Times New Roman" w:eastAsia="宋体" w:hAnsi="Times New Roman" w:cs="Times New Roman"/>
                <w:b/>
                <w:bCs/>
                <w:w w:val="90"/>
                <w:kern w:val="0"/>
                <w:sz w:val="18"/>
                <w:szCs w:val="18"/>
              </w:rPr>
              <w:t>Decrease in current year</w:t>
            </w:r>
          </w:p>
        </w:tc>
        <w:tc>
          <w:tcPr>
            <w:tcW w:w="1377" w:type="dxa"/>
            <w:vMerge w:val="restart"/>
            <w:tcBorders>
              <w:top w:val="double" w:sz="4" w:space="0" w:color="auto"/>
              <w:left w:val="single" w:sz="4" w:space="0" w:color="auto"/>
              <w:bottom w:val="single" w:sz="4" w:space="0" w:color="auto"/>
            </w:tcBorders>
            <w:vAlign w:val="center"/>
          </w:tcPr>
          <w:p w:rsidR="000B609E" w:rsidRDefault="00B220E1">
            <w:pPr>
              <w:spacing w:afterLines="0" w:after="0"/>
              <w:ind w:firstLineChars="0" w:firstLine="0"/>
              <w:jc w:val="center"/>
              <w:rPr>
                <w:rFonts w:ascii="宋体" w:hAnsi="宋体" w:cs="宋体"/>
                <w:b/>
                <w:bCs/>
                <w:w w:val="90"/>
              </w:rPr>
            </w:pPr>
            <w:r>
              <w:rPr>
                <w:rFonts w:ascii="Times New Roman" w:eastAsia="宋体" w:hAnsi="Times New Roman" w:cs="Times New Roman"/>
                <w:b/>
                <w:bCs/>
                <w:w w:val="90"/>
                <w:kern w:val="0"/>
                <w:sz w:val="18"/>
                <w:szCs w:val="18"/>
              </w:rPr>
              <w:t>Ending balance</w:t>
            </w:r>
          </w:p>
        </w:tc>
      </w:tr>
      <w:tr w:rsidR="000B609E">
        <w:trPr>
          <w:trHeight w:val="656"/>
          <w:tblHeader/>
          <w:jc w:val="center"/>
        </w:trPr>
        <w:tc>
          <w:tcPr>
            <w:tcW w:w="1516" w:type="dxa"/>
            <w:vMerge/>
            <w:tcBorders>
              <w:top w:val="single" w:sz="4" w:space="0" w:color="auto"/>
              <w:bottom w:val="single" w:sz="4" w:space="0" w:color="000000"/>
              <w:right w:val="single" w:sz="4" w:space="0" w:color="auto"/>
            </w:tcBorders>
            <w:vAlign w:val="center"/>
          </w:tcPr>
          <w:p w:rsidR="000B609E" w:rsidRDefault="000B609E">
            <w:pPr>
              <w:spacing w:afterLines="0" w:after="0"/>
              <w:ind w:firstLine="382"/>
              <w:jc w:val="center"/>
              <w:rPr>
                <w:rFonts w:ascii="宋体" w:hAnsi="宋体" w:cs="宋体"/>
                <w:b/>
                <w:bCs/>
                <w:w w:val="90"/>
              </w:rPr>
            </w:pPr>
          </w:p>
        </w:tc>
        <w:tc>
          <w:tcPr>
            <w:tcW w:w="1392" w:type="dxa"/>
            <w:vMerge/>
            <w:tcBorders>
              <w:top w:val="single" w:sz="4" w:space="0" w:color="auto"/>
              <w:left w:val="single" w:sz="4" w:space="0" w:color="auto"/>
              <w:bottom w:val="single" w:sz="4" w:space="0" w:color="auto"/>
              <w:right w:val="single" w:sz="4" w:space="0" w:color="auto"/>
            </w:tcBorders>
            <w:vAlign w:val="center"/>
          </w:tcPr>
          <w:p w:rsidR="000B609E" w:rsidRDefault="000B609E">
            <w:pPr>
              <w:spacing w:afterLines="0" w:after="0"/>
              <w:ind w:firstLine="382"/>
              <w:jc w:val="center"/>
              <w:rPr>
                <w:rFonts w:ascii="宋体" w:hAnsi="宋体" w:cs="宋体"/>
                <w:b/>
                <w:bCs/>
                <w:w w:val="90"/>
              </w:rPr>
            </w:pPr>
          </w:p>
        </w:tc>
        <w:tc>
          <w:tcPr>
            <w:tcW w:w="1296"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Provision</w:t>
            </w:r>
          </w:p>
        </w:tc>
        <w:tc>
          <w:tcPr>
            <w:tcW w:w="1296"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Other</w:t>
            </w:r>
          </w:p>
        </w:tc>
        <w:tc>
          <w:tcPr>
            <w:tcW w:w="876"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Recovery of asset value</w:t>
            </w:r>
          </w:p>
        </w:tc>
        <w:tc>
          <w:tcPr>
            <w:tcW w:w="1284"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Write-off</w:t>
            </w:r>
          </w:p>
        </w:tc>
        <w:tc>
          <w:tcPr>
            <w:tcW w:w="654" w:type="dxa"/>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w w:val="90"/>
                <w:kern w:val="0"/>
                <w:sz w:val="18"/>
                <w:szCs w:val="18"/>
              </w:rPr>
              <w:t>Other</w:t>
            </w:r>
          </w:p>
        </w:tc>
        <w:tc>
          <w:tcPr>
            <w:tcW w:w="1377" w:type="dxa"/>
            <w:vMerge/>
            <w:tcBorders>
              <w:top w:val="single" w:sz="4" w:space="0" w:color="auto"/>
              <w:left w:val="single" w:sz="4" w:space="0" w:color="auto"/>
              <w:bottom w:val="single" w:sz="4" w:space="0" w:color="auto"/>
            </w:tcBorders>
            <w:vAlign w:val="center"/>
          </w:tcPr>
          <w:p w:rsidR="000B609E" w:rsidRDefault="000B609E">
            <w:pPr>
              <w:spacing w:afterLines="0" w:after="0"/>
              <w:ind w:firstLine="382"/>
              <w:jc w:val="center"/>
              <w:rPr>
                <w:rFonts w:ascii="宋体" w:hAnsi="宋体" w:cs="宋体"/>
                <w:b/>
                <w:bCs/>
                <w:w w:val="90"/>
              </w:rPr>
            </w:pPr>
          </w:p>
        </w:tc>
      </w:tr>
      <w:tr w:rsidR="000B609E" w:rsidTr="00DF783A">
        <w:trPr>
          <w:trHeight w:hRule="exact" w:val="907"/>
          <w:jc w:val="center"/>
        </w:trPr>
        <w:tc>
          <w:tcPr>
            <w:tcW w:w="1516"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宋体" w:hAnsi="宋体" w:cs="宋体"/>
              </w:rPr>
            </w:pPr>
            <w:r>
              <w:rPr>
                <w:rFonts w:ascii="Times New Roman" w:eastAsia="宋体" w:hAnsi="Times New Roman" w:cs="Times New Roman" w:hint="eastAsia"/>
                <w:kern w:val="0"/>
                <w:sz w:val="18"/>
                <w:szCs w:val="18"/>
              </w:rPr>
              <w:t>Due from banks and other financial institutions</w:t>
            </w:r>
          </w:p>
        </w:tc>
        <w:tc>
          <w:tcPr>
            <w:tcW w:w="1392"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 xml:space="preserve">-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63,530.61</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63,530.61</w:t>
            </w:r>
          </w:p>
        </w:tc>
      </w:tr>
      <w:tr w:rsidR="000B609E">
        <w:trPr>
          <w:trHeight w:hRule="exact" w:val="454"/>
          <w:jc w:val="center"/>
        </w:trPr>
        <w:tc>
          <w:tcPr>
            <w:tcW w:w="1516"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宋体" w:hAnsi="宋体" w:cs="宋体"/>
              </w:rPr>
            </w:pPr>
            <w:r>
              <w:rPr>
                <w:rFonts w:ascii="Times New Roman" w:eastAsia="宋体" w:hAnsi="Times New Roman" w:cs="Times New Roman" w:hint="eastAsia"/>
                <w:kern w:val="0"/>
                <w:sz w:val="18"/>
                <w:szCs w:val="18"/>
              </w:rPr>
              <w:t>Lending funds</w:t>
            </w:r>
          </w:p>
        </w:tc>
        <w:tc>
          <w:tcPr>
            <w:tcW w:w="1392"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 xml:space="preserve"> 76,111,558.60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w:t>
            </w:r>
          </w:p>
        </w:tc>
        <w:tc>
          <w:tcPr>
            <w:tcW w:w="1296" w:type="dxa"/>
            <w:tcBorders>
              <w:top w:val="nil"/>
              <w:left w:val="nil"/>
              <w:bottom w:val="single" w:sz="4" w:space="0" w:color="auto"/>
              <w:right w:val="single" w:sz="4" w:space="0" w:color="auto"/>
            </w:tcBorders>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76,111,558.60</w:t>
            </w:r>
          </w:p>
        </w:tc>
      </w:tr>
      <w:tr w:rsidR="000B609E">
        <w:trPr>
          <w:trHeight w:hRule="exact" w:val="907"/>
          <w:jc w:val="center"/>
        </w:trPr>
        <w:tc>
          <w:tcPr>
            <w:tcW w:w="1516"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宋体" w:hAnsi="宋体" w:cs="宋体"/>
              </w:rPr>
            </w:pPr>
            <w:r>
              <w:rPr>
                <w:rFonts w:ascii="Times New Roman" w:eastAsia="宋体" w:hAnsi="Times New Roman" w:cs="Times New Roman" w:hint="eastAsia"/>
                <w:kern w:val="0"/>
                <w:sz w:val="18"/>
                <w:szCs w:val="18"/>
              </w:rPr>
              <w:t>Loans and advances to customers</w:t>
            </w:r>
          </w:p>
        </w:tc>
        <w:tc>
          <w:tcPr>
            <w:tcW w:w="1392"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 xml:space="preserve">1,390,286,613.52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169,754,180.63</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228,946,873.18</w:t>
            </w:r>
          </w:p>
        </w:tc>
        <w:tc>
          <w:tcPr>
            <w:tcW w:w="876" w:type="dxa"/>
            <w:tcBorders>
              <w:top w:val="nil"/>
              <w:left w:val="nil"/>
              <w:bottom w:val="single" w:sz="4" w:space="0" w:color="auto"/>
              <w:right w:val="single" w:sz="4" w:space="0" w:color="auto"/>
            </w:tcBorders>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503,932,324.71</w:t>
            </w:r>
          </w:p>
        </w:tc>
        <w:tc>
          <w:tcPr>
            <w:tcW w:w="65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1,285,055,342.62</w:t>
            </w:r>
          </w:p>
        </w:tc>
      </w:tr>
      <w:tr w:rsidR="000B609E" w:rsidTr="00DF783A">
        <w:trPr>
          <w:trHeight w:hRule="exact" w:val="907"/>
          <w:jc w:val="center"/>
        </w:trPr>
        <w:tc>
          <w:tcPr>
            <w:tcW w:w="1516"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Other debt investments </w:t>
            </w:r>
          </w:p>
        </w:tc>
        <w:tc>
          <w:tcPr>
            <w:tcW w:w="1392"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hAnsi="Arial Narrow" w:cs="Calibri"/>
                <w:color w:val="000000"/>
                <w:sz w:val="18"/>
                <w:szCs w:val="18"/>
              </w:rPr>
            </w:pPr>
            <w:r>
              <w:rPr>
                <w:rFonts w:ascii="Arial Narrow" w:hAnsi="Arial Narrow" w:cs="Calibri" w:hint="eastAsia"/>
                <w:color w:val="000000"/>
                <w:sz w:val="18"/>
                <w:szCs w:val="18"/>
              </w:rPr>
              <w:t>-</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hAnsi="Arial Narrow" w:cs="Calibri"/>
                <w:color w:val="000000"/>
                <w:sz w:val="18"/>
                <w:szCs w:val="18"/>
              </w:rPr>
            </w:pPr>
            <w:r>
              <w:rPr>
                <w:rFonts w:ascii="Arial Narrow" w:hAnsi="Arial Narrow" w:cs="Calibri"/>
                <w:color w:val="000000"/>
                <w:sz w:val="18"/>
                <w:szCs w:val="18"/>
              </w:rPr>
              <w:t>293,660.08</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hAnsi="Arial Narrow" w:cs="Calibri"/>
                <w:color w:val="00000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hAnsi="Arial Narrow" w:cs="Calibri"/>
                <w:color w:val="00000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hAnsi="Arial Narrow" w:cs="Calibri"/>
                <w:color w:val="000000"/>
                <w:sz w:val="18"/>
                <w:szCs w:val="18"/>
              </w:rPr>
            </w:pPr>
            <w:r>
              <w:rPr>
                <w:rFonts w:ascii="Arial Narrow" w:hAnsi="Arial Narrow" w:hint="eastAsia"/>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hAnsi="Arial Narrow" w:cs="Calibri"/>
                <w:color w:val="000000"/>
                <w:sz w:val="18"/>
                <w:szCs w:val="18"/>
              </w:rPr>
            </w:pPr>
            <w:r>
              <w:rPr>
                <w:rFonts w:ascii="Arial Narrow" w:hAnsi="Arial Narrow" w:cs="Calibri"/>
                <w:color w:val="000000"/>
                <w:sz w:val="18"/>
                <w:szCs w:val="18"/>
              </w:rPr>
              <w:t>293,660.08</w:t>
            </w:r>
          </w:p>
        </w:tc>
      </w:tr>
      <w:tr w:rsidR="000B609E" w:rsidTr="00DF783A">
        <w:trPr>
          <w:trHeight w:hRule="exact" w:val="454"/>
          <w:jc w:val="center"/>
        </w:trPr>
        <w:tc>
          <w:tcPr>
            <w:tcW w:w="1516"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宋体" w:hAnsi="宋体" w:cs="宋体"/>
              </w:rPr>
            </w:pPr>
            <w:r>
              <w:rPr>
                <w:rFonts w:ascii="Times New Roman" w:eastAsia="宋体" w:hAnsi="Times New Roman" w:cs="Times New Roman" w:hint="eastAsia"/>
                <w:kern w:val="0"/>
                <w:sz w:val="18"/>
                <w:szCs w:val="18"/>
              </w:rPr>
              <w:t>Debt</w:t>
            </w:r>
            <w:r>
              <w:rPr>
                <w:rFonts w:ascii="Times New Roman" w:eastAsia="宋体" w:hAnsi="Times New Roman" w:cs="Times New Roman" w:hint="eastAsia"/>
                <w:kern w:val="0"/>
                <w:sz w:val="18"/>
                <w:szCs w:val="18"/>
              </w:rPr>
              <w:t> </w:t>
            </w:r>
            <w:r>
              <w:rPr>
                <w:rFonts w:ascii="Times New Roman" w:eastAsia="宋体" w:hAnsi="Times New Roman" w:cs="Times New Roman" w:hint="eastAsia"/>
                <w:kern w:val="0"/>
                <w:sz w:val="18"/>
                <w:szCs w:val="18"/>
              </w:rPr>
              <w:t>investment</w:t>
            </w:r>
          </w:p>
        </w:tc>
        <w:tc>
          <w:tcPr>
            <w:tcW w:w="1392"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 xml:space="preserve"> 8,508,761.20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3,145,212.70</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11,653,973.90</w:t>
            </w:r>
          </w:p>
        </w:tc>
      </w:tr>
      <w:tr w:rsidR="000B609E" w:rsidTr="00DF783A">
        <w:trPr>
          <w:trHeight w:val="305"/>
          <w:jc w:val="center"/>
        </w:trPr>
        <w:tc>
          <w:tcPr>
            <w:tcW w:w="1516"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宋体" w:hAnsi="宋体" w:cs="宋体"/>
              </w:rPr>
            </w:pPr>
            <w:r>
              <w:rPr>
                <w:rFonts w:ascii="Times New Roman" w:eastAsia="宋体" w:hAnsi="Times New Roman" w:cs="Times New Roman" w:hint="eastAsia"/>
                <w:kern w:val="0"/>
                <w:sz w:val="18"/>
                <w:szCs w:val="18"/>
              </w:rPr>
              <w:t>off balance sheet credit assets</w:t>
            </w:r>
          </w:p>
        </w:tc>
        <w:tc>
          <w:tcPr>
            <w:tcW w:w="1392"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 xml:space="preserve"> 6,633,377.76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-3,710,720.90</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2,922,656.86</w:t>
            </w:r>
          </w:p>
        </w:tc>
      </w:tr>
      <w:tr w:rsidR="000B609E">
        <w:trPr>
          <w:trHeight w:hRule="exact" w:val="454"/>
          <w:jc w:val="center"/>
        </w:trPr>
        <w:tc>
          <w:tcPr>
            <w:tcW w:w="1516"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宋体" w:hAnsi="宋体" w:cs="宋体"/>
              </w:rPr>
            </w:pPr>
            <w:r>
              <w:rPr>
                <w:rFonts w:ascii="Times New Roman" w:eastAsia="宋体" w:hAnsi="Times New Roman" w:cs="Times New Roman" w:hint="eastAsia"/>
                <w:kern w:val="0"/>
                <w:sz w:val="18"/>
                <w:szCs w:val="18"/>
              </w:rPr>
              <w:t>Other assets</w:t>
            </w:r>
          </w:p>
        </w:tc>
        <w:tc>
          <w:tcPr>
            <w:tcW w:w="1392"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hint="eastAsia"/>
                <w:color w:val="000000"/>
                <w:sz w:val="18"/>
                <w:szCs w:val="18"/>
              </w:rPr>
              <w:t xml:space="preserve"> 12,313,339.60 </w:t>
            </w:r>
          </w:p>
        </w:tc>
        <w:tc>
          <w:tcPr>
            <w:tcW w:w="1296"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-2,124,610.84</w:t>
            </w:r>
          </w:p>
        </w:tc>
        <w:tc>
          <w:tcPr>
            <w:tcW w:w="1296" w:type="dxa"/>
            <w:tcBorders>
              <w:top w:val="nil"/>
              <w:left w:val="nil"/>
              <w:bottom w:val="single" w:sz="4" w:space="0" w:color="auto"/>
              <w:right w:val="single" w:sz="4" w:space="0" w:color="auto"/>
            </w:tcBorders>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876" w:type="dxa"/>
            <w:tcBorders>
              <w:top w:val="nil"/>
              <w:left w:val="nil"/>
              <w:bottom w:val="single" w:sz="4" w:space="0" w:color="auto"/>
              <w:right w:val="single" w:sz="4" w:space="0" w:color="auto"/>
            </w:tcBorders>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284" w:type="dxa"/>
            <w:tcBorders>
              <w:top w:val="nil"/>
              <w:left w:val="nil"/>
              <w:bottom w:val="single" w:sz="4" w:space="0" w:color="auto"/>
              <w:right w:val="single" w:sz="4" w:space="0" w:color="auto"/>
            </w:tcBorders>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654" w:type="dxa"/>
            <w:tcBorders>
              <w:top w:val="nil"/>
              <w:left w:val="nil"/>
              <w:bottom w:val="single" w:sz="4" w:space="0" w:color="auto"/>
              <w:right w:val="single" w:sz="4" w:space="0" w:color="auto"/>
            </w:tcBorders>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hint="eastAsia"/>
                <w:sz w:val="18"/>
                <w:szCs w:val="18"/>
              </w:rPr>
              <w:t>-</w:t>
            </w:r>
          </w:p>
        </w:tc>
        <w:tc>
          <w:tcPr>
            <w:tcW w:w="1377"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Calibri"/>
                <w:color w:val="000000"/>
                <w:sz w:val="18"/>
                <w:szCs w:val="18"/>
              </w:rPr>
              <w:t>10,188,728.76</w:t>
            </w:r>
          </w:p>
        </w:tc>
      </w:tr>
      <w:tr w:rsidR="000B609E">
        <w:trPr>
          <w:trHeight w:hRule="exact" w:val="454"/>
          <w:jc w:val="center"/>
        </w:trPr>
        <w:tc>
          <w:tcPr>
            <w:tcW w:w="1516" w:type="dxa"/>
            <w:tcBorders>
              <w:top w:val="nil"/>
              <w:bottom w:val="double" w:sz="4" w:space="0" w:color="auto"/>
              <w:right w:val="single" w:sz="4" w:space="0" w:color="auto"/>
            </w:tcBorders>
            <w:vAlign w:val="center"/>
          </w:tcPr>
          <w:p w:rsidR="000B609E" w:rsidRDefault="00B220E1">
            <w:pPr>
              <w:pStyle w:val="11"/>
              <w:spacing w:afterLines="0" w:after="0"/>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Total</w:t>
            </w:r>
          </w:p>
        </w:tc>
        <w:tc>
          <w:tcPr>
            <w:tcW w:w="1392"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Calibri" w:hint="eastAsia"/>
                <w:b/>
                <w:bCs/>
                <w:color w:val="000000"/>
                <w:sz w:val="18"/>
                <w:szCs w:val="18"/>
              </w:rPr>
              <w:t xml:space="preserve">1,493,853,650.68 </w:t>
            </w:r>
          </w:p>
        </w:tc>
        <w:tc>
          <w:tcPr>
            <w:tcW w:w="1296"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Calibri"/>
                <w:b/>
                <w:bCs/>
                <w:color w:val="000000"/>
                <w:sz w:val="18"/>
                <w:szCs w:val="18"/>
              </w:rPr>
              <w:t>167,421,252.28</w:t>
            </w:r>
          </w:p>
        </w:tc>
        <w:tc>
          <w:tcPr>
            <w:tcW w:w="1296"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Calibri"/>
                <w:b/>
                <w:bCs/>
                <w:color w:val="000000"/>
                <w:sz w:val="18"/>
                <w:szCs w:val="18"/>
              </w:rPr>
              <w:t>228,946,873.18</w:t>
            </w:r>
          </w:p>
        </w:tc>
        <w:tc>
          <w:tcPr>
            <w:tcW w:w="876"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Calibri" w:hint="eastAsia"/>
                <w:b/>
                <w:bCs/>
                <w:color w:val="000000"/>
                <w:sz w:val="18"/>
                <w:szCs w:val="18"/>
              </w:rPr>
              <w:t>-</w:t>
            </w:r>
          </w:p>
        </w:tc>
        <w:tc>
          <w:tcPr>
            <w:tcW w:w="1284"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Calibri"/>
                <w:b/>
                <w:bCs/>
                <w:color w:val="000000"/>
                <w:sz w:val="18"/>
                <w:szCs w:val="18"/>
              </w:rPr>
              <w:t>503,932,324.71</w:t>
            </w:r>
          </w:p>
        </w:tc>
        <w:tc>
          <w:tcPr>
            <w:tcW w:w="654"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Calibri" w:hint="eastAsia"/>
                <w:b/>
                <w:bCs/>
                <w:color w:val="000000"/>
                <w:sz w:val="18"/>
                <w:szCs w:val="18"/>
              </w:rPr>
              <w:t>-</w:t>
            </w:r>
          </w:p>
        </w:tc>
        <w:tc>
          <w:tcPr>
            <w:tcW w:w="1377" w:type="dxa"/>
            <w:tcBorders>
              <w:top w:val="nil"/>
              <w:left w:val="nil"/>
              <w:bottom w:val="doub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Calibri"/>
                <w:b/>
                <w:bCs/>
                <w:color w:val="000000"/>
                <w:sz w:val="18"/>
                <w:szCs w:val="18"/>
              </w:rPr>
              <w:t>1,386,289,451.43</w:t>
            </w:r>
          </w:p>
        </w:tc>
      </w:tr>
    </w:tbl>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18. Borrowings from the central bank</w:t>
      </w:r>
    </w:p>
    <w:tbl>
      <w:tblPr>
        <w:tblW w:w="9684" w:type="dxa"/>
        <w:tblInd w:w="-567" w:type="dxa"/>
        <w:tblLayout w:type="fixed"/>
        <w:tblLook w:val="04A0" w:firstRow="1" w:lastRow="0" w:firstColumn="1" w:lastColumn="0" w:noHBand="0" w:noVBand="1"/>
      </w:tblPr>
      <w:tblGrid>
        <w:gridCol w:w="2109"/>
        <w:gridCol w:w="1983"/>
        <w:gridCol w:w="1860"/>
        <w:gridCol w:w="1848"/>
        <w:gridCol w:w="1884"/>
      </w:tblGrid>
      <w:tr w:rsidR="000B609E">
        <w:trPr>
          <w:trHeight w:val="293"/>
          <w:tblHeader/>
        </w:trPr>
        <w:tc>
          <w:tcPr>
            <w:tcW w:w="2109"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843"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732"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26"/>
          <w:tblHeader/>
        </w:trPr>
        <w:tc>
          <w:tcPr>
            <w:tcW w:w="2109"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9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8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8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884"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0B609E">
        <w:trPr>
          <w:trHeight w:hRule="exact" w:val="454"/>
        </w:trPr>
        <w:tc>
          <w:tcPr>
            <w:tcW w:w="21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Due to the central bank</w:t>
            </w:r>
          </w:p>
        </w:tc>
        <w:tc>
          <w:tcPr>
            <w:tcW w:w="19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1,278,171,235.97</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300,000,000.00</w:t>
            </w:r>
          </w:p>
        </w:tc>
        <w:tc>
          <w:tcPr>
            <w:tcW w:w="18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1,264,322,735.97</w:t>
            </w:r>
          </w:p>
        </w:tc>
        <w:tc>
          <w:tcPr>
            <w:tcW w:w="18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300,000,000.00</w:t>
            </w:r>
          </w:p>
        </w:tc>
      </w:tr>
      <w:tr w:rsidR="000B609E">
        <w:trPr>
          <w:trHeight w:hRule="exact" w:val="454"/>
        </w:trPr>
        <w:tc>
          <w:tcPr>
            <w:tcW w:w="21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kern w:val="0"/>
                <w:sz w:val="18"/>
                <w:szCs w:val="18"/>
              </w:rPr>
            </w:pPr>
            <w:r>
              <w:rPr>
                <w:rFonts w:ascii="Times New Roman" w:eastAsia="宋体" w:hAnsi="Times New Roman" w:cs="Times New Roman" w:hint="eastAsia"/>
                <w:b/>
                <w:kern w:val="0"/>
                <w:sz w:val="18"/>
                <w:szCs w:val="18"/>
              </w:rPr>
              <w:t>Subt</w:t>
            </w:r>
            <w:r>
              <w:rPr>
                <w:rFonts w:ascii="Times New Roman" w:eastAsia="宋体" w:hAnsi="Times New Roman" w:cs="Times New Roman"/>
                <w:b/>
                <w:kern w:val="0"/>
                <w:sz w:val="18"/>
                <w:szCs w:val="18"/>
              </w:rPr>
              <w:t>otal</w:t>
            </w:r>
          </w:p>
        </w:tc>
        <w:tc>
          <w:tcPr>
            <w:tcW w:w="19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1,278,171,235.97</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300,000,000.00</w:t>
            </w:r>
          </w:p>
        </w:tc>
        <w:tc>
          <w:tcPr>
            <w:tcW w:w="18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1,264,322,735.97</w:t>
            </w:r>
          </w:p>
        </w:tc>
        <w:tc>
          <w:tcPr>
            <w:tcW w:w="18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300,000,000.00</w:t>
            </w:r>
          </w:p>
        </w:tc>
      </w:tr>
      <w:tr w:rsidR="000B609E">
        <w:trPr>
          <w:trHeight w:hRule="exact" w:val="454"/>
        </w:trPr>
        <w:tc>
          <w:tcPr>
            <w:tcW w:w="21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proofErr w:type="gramStart"/>
            <w:r>
              <w:rPr>
                <w:rFonts w:ascii="Times New Roman" w:eastAsia="宋体" w:hAnsi="Times New Roman" w:cs="Times New Roman" w:hint="eastAsia"/>
                <w:kern w:val="0"/>
                <w:sz w:val="20"/>
                <w:szCs w:val="20"/>
              </w:rPr>
              <w:t>Add:a</w:t>
            </w:r>
            <w:r>
              <w:rPr>
                <w:rFonts w:ascii="Times New Roman" w:eastAsia="宋体" w:hAnsi="Times New Roman" w:cs="Times New Roman"/>
                <w:kern w:val="0"/>
                <w:sz w:val="20"/>
                <w:szCs w:val="20"/>
              </w:rPr>
              <w:t>ccrued</w:t>
            </w:r>
            <w:proofErr w:type="spellEnd"/>
            <w:proofErr w:type="gramEnd"/>
            <w:r>
              <w:rPr>
                <w:rFonts w:ascii="Times New Roman" w:eastAsia="宋体" w:hAnsi="Times New Roman" w:cs="Times New Roman"/>
                <w:kern w:val="0"/>
                <w:sz w:val="20"/>
                <w:szCs w:val="20"/>
              </w:rPr>
              <w:t xml:space="preserve"> Interest</w:t>
            </w:r>
          </w:p>
        </w:tc>
        <w:tc>
          <w:tcPr>
            <w:tcW w:w="19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883,055.55</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252,083.33</w:t>
            </w:r>
          </w:p>
        </w:tc>
        <w:tc>
          <w:tcPr>
            <w:tcW w:w="18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883,055.55</w:t>
            </w:r>
          </w:p>
        </w:tc>
        <w:tc>
          <w:tcPr>
            <w:tcW w:w="18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252,083.33</w:t>
            </w:r>
          </w:p>
        </w:tc>
      </w:tr>
      <w:tr w:rsidR="000B609E">
        <w:trPr>
          <w:trHeight w:hRule="exact" w:val="454"/>
        </w:trPr>
        <w:tc>
          <w:tcPr>
            <w:tcW w:w="21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9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1,279,054,291.52</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300,252,083.33</w:t>
            </w:r>
          </w:p>
        </w:tc>
        <w:tc>
          <w:tcPr>
            <w:tcW w:w="18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1,265,205,791.52</w:t>
            </w:r>
          </w:p>
        </w:tc>
        <w:tc>
          <w:tcPr>
            <w:tcW w:w="18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300,252,083.33</w:t>
            </w:r>
          </w:p>
        </w:tc>
      </w:tr>
    </w:tbl>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19. Deposits with banks and other financial institutions</w:t>
      </w:r>
    </w:p>
    <w:tbl>
      <w:tblPr>
        <w:tblW w:w="9684" w:type="dxa"/>
        <w:tblInd w:w="-544" w:type="dxa"/>
        <w:tblLayout w:type="fixed"/>
        <w:tblLook w:val="04A0" w:firstRow="1" w:lastRow="0" w:firstColumn="1" w:lastColumn="0" w:noHBand="0" w:noVBand="1"/>
      </w:tblPr>
      <w:tblGrid>
        <w:gridCol w:w="2214"/>
        <w:gridCol w:w="1842"/>
        <w:gridCol w:w="1860"/>
        <w:gridCol w:w="1872"/>
        <w:gridCol w:w="1896"/>
      </w:tblGrid>
      <w:tr w:rsidR="000B609E">
        <w:trPr>
          <w:trHeight w:val="293"/>
          <w:tblHeader/>
        </w:trPr>
        <w:tc>
          <w:tcPr>
            <w:tcW w:w="2214"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702"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768"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26"/>
          <w:tblHeader/>
        </w:trPr>
        <w:tc>
          <w:tcPr>
            <w:tcW w:w="2214"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8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896"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0B609E">
        <w:trPr>
          <w:trHeight w:hRule="exact" w:val="454"/>
        </w:trPr>
        <w:tc>
          <w:tcPr>
            <w:tcW w:w="221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Domestic banks</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14,705,535.45</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2,016,655.91</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4,705,716.01</w:t>
            </w:r>
          </w:p>
        </w:tc>
        <w:tc>
          <w:tcPr>
            <w:tcW w:w="189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2,016,655.91</w:t>
            </w:r>
          </w:p>
        </w:tc>
      </w:tr>
      <w:tr w:rsidR="000B609E">
        <w:trPr>
          <w:trHeight w:hRule="exact" w:val="454"/>
        </w:trPr>
        <w:tc>
          <w:tcPr>
            <w:tcW w:w="221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kern w:val="0"/>
                <w:sz w:val="18"/>
                <w:szCs w:val="18"/>
              </w:rPr>
            </w:pPr>
            <w:r>
              <w:rPr>
                <w:rFonts w:ascii="Times New Roman" w:eastAsia="宋体" w:hAnsi="Times New Roman" w:cs="Times New Roman" w:hint="eastAsia"/>
                <w:b/>
                <w:kern w:val="0"/>
                <w:sz w:val="18"/>
                <w:szCs w:val="18"/>
              </w:rPr>
              <w:t>Subt</w:t>
            </w:r>
            <w:r>
              <w:rPr>
                <w:rFonts w:ascii="Times New Roman" w:eastAsia="宋体" w:hAnsi="Times New Roman" w:cs="Times New Roman"/>
                <w:b/>
                <w:kern w:val="0"/>
                <w:sz w:val="18"/>
                <w:szCs w:val="18"/>
              </w:rPr>
              <w:t>otal</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14,705,535.45</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2,016,655.91</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4,705,716.01</w:t>
            </w:r>
          </w:p>
        </w:tc>
        <w:tc>
          <w:tcPr>
            <w:tcW w:w="189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2,016,655.91</w:t>
            </w:r>
          </w:p>
        </w:tc>
      </w:tr>
      <w:tr w:rsidR="000B609E">
        <w:trPr>
          <w:trHeight w:hRule="exact" w:val="454"/>
        </w:trPr>
        <w:tc>
          <w:tcPr>
            <w:tcW w:w="221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proofErr w:type="gramStart"/>
            <w:r>
              <w:rPr>
                <w:rFonts w:ascii="Times New Roman" w:eastAsia="宋体" w:hAnsi="Times New Roman" w:cs="Times New Roman" w:hint="eastAsia"/>
                <w:kern w:val="0"/>
                <w:sz w:val="20"/>
                <w:szCs w:val="20"/>
              </w:rPr>
              <w:t>Add:a</w:t>
            </w:r>
            <w:r>
              <w:rPr>
                <w:rFonts w:ascii="Times New Roman" w:eastAsia="宋体" w:hAnsi="Times New Roman" w:cs="Times New Roman"/>
                <w:kern w:val="0"/>
                <w:sz w:val="20"/>
                <w:szCs w:val="20"/>
              </w:rPr>
              <w:t>ccrued</w:t>
            </w:r>
            <w:proofErr w:type="spellEnd"/>
            <w:proofErr w:type="gramEnd"/>
            <w:r>
              <w:rPr>
                <w:rFonts w:ascii="Times New Roman" w:eastAsia="宋体" w:hAnsi="Times New Roman" w:cs="Times New Roman"/>
                <w:kern w:val="0"/>
                <w:sz w:val="20"/>
                <w:szCs w:val="20"/>
              </w:rPr>
              <w:t xml:space="preserve"> Interest</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966.46</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337.67</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966.46</w:t>
            </w:r>
          </w:p>
        </w:tc>
        <w:tc>
          <w:tcPr>
            <w:tcW w:w="189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337.67</w:t>
            </w:r>
          </w:p>
        </w:tc>
      </w:tr>
      <w:tr w:rsidR="000B609E">
        <w:trPr>
          <w:trHeight w:hRule="exact" w:val="454"/>
        </w:trPr>
        <w:tc>
          <w:tcPr>
            <w:tcW w:w="2214"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84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14,706,501.91</w:t>
            </w:r>
          </w:p>
        </w:tc>
        <w:tc>
          <w:tcPr>
            <w:tcW w:w="186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2,016,993.58</w:t>
            </w:r>
          </w:p>
        </w:tc>
        <w:tc>
          <w:tcPr>
            <w:tcW w:w="187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4,706,682.47</w:t>
            </w:r>
          </w:p>
        </w:tc>
        <w:tc>
          <w:tcPr>
            <w:tcW w:w="1896"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2,016,993.58</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lastRenderedPageBreak/>
        <w:t>Placements from banks and other financial institutions</w:t>
      </w:r>
    </w:p>
    <w:p w:rsidR="000B609E" w:rsidRDefault="000B609E">
      <w:pPr>
        <w:spacing w:after="156"/>
        <w:ind w:firstLineChars="0" w:firstLine="0"/>
      </w:pPr>
    </w:p>
    <w:tbl>
      <w:tblPr>
        <w:tblW w:w="9672" w:type="dxa"/>
        <w:tblInd w:w="-522" w:type="dxa"/>
        <w:tblLayout w:type="fixed"/>
        <w:tblLook w:val="04A0" w:firstRow="1" w:lastRow="0" w:firstColumn="1" w:lastColumn="0" w:noHBand="0" w:noVBand="1"/>
      </w:tblPr>
      <w:tblGrid>
        <w:gridCol w:w="2190"/>
        <w:gridCol w:w="1854"/>
        <w:gridCol w:w="1860"/>
        <w:gridCol w:w="1872"/>
        <w:gridCol w:w="1896"/>
      </w:tblGrid>
      <w:tr w:rsidR="000B609E">
        <w:trPr>
          <w:trHeight w:val="293"/>
          <w:tblHeader/>
        </w:trPr>
        <w:tc>
          <w:tcPr>
            <w:tcW w:w="2190"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714"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768"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26"/>
          <w:tblHeader/>
        </w:trPr>
        <w:tc>
          <w:tcPr>
            <w:tcW w:w="2190"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8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8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896"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0B609E">
        <w:trPr>
          <w:trHeight w:hRule="exact" w:val="454"/>
        </w:trPr>
        <w:tc>
          <w:tcPr>
            <w:tcW w:w="2190"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Domestic banks</w:t>
            </w:r>
          </w:p>
        </w:tc>
        <w:tc>
          <w:tcPr>
            <w:tcW w:w="18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color w:val="000000"/>
                <w:sz w:val="20"/>
                <w:szCs w:val="20"/>
              </w:rPr>
              <w:t xml:space="preserve">-   </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34,881,000.00</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color w:val="000000"/>
                <w:sz w:val="20"/>
                <w:szCs w:val="20"/>
              </w:rPr>
              <w:t xml:space="preserve">-   </w:t>
            </w:r>
          </w:p>
        </w:tc>
        <w:tc>
          <w:tcPr>
            <w:tcW w:w="189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34,881,000.00</w:t>
            </w:r>
          </w:p>
        </w:tc>
      </w:tr>
      <w:tr w:rsidR="000B609E">
        <w:trPr>
          <w:trHeight w:hRule="exact" w:val="454"/>
        </w:trPr>
        <w:tc>
          <w:tcPr>
            <w:tcW w:w="2190"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kern w:val="0"/>
                <w:sz w:val="18"/>
                <w:szCs w:val="18"/>
              </w:rPr>
            </w:pPr>
            <w:r>
              <w:rPr>
                <w:rFonts w:ascii="Times New Roman" w:eastAsia="宋体" w:hAnsi="Times New Roman" w:cs="Times New Roman" w:hint="eastAsia"/>
                <w:b/>
                <w:kern w:val="0"/>
                <w:sz w:val="18"/>
                <w:szCs w:val="18"/>
              </w:rPr>
              <w:t>Subt</w:t>
            </w:r>
            <w:r>
              <w:rPr>
                <w:rFonts w:ascii="Times New Roman" w:eastAsia="宋体" w:hAnsi="Times New Roman" w:cs="Times New Roman"/>
                <w:b/>
                <w:kern w:val="0"/>
                <w:sz w:val="18"/>
                <w:szCs w:val="18"/>
              </w:rPr>
              <w:t>otal</w:t>
            </w:r>
          </w:p>
        </w:tc>
        <w:tc>
          <w:tcPr>
            <w:tcW w:w="18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color w:val="000000"/>
                <w:sz w:val="20"/>
                <w:szCs w:val="20"/>
              </w:rPr>
              <w:t xml:space="preserve">-   </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34,881,000.00</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b/>
                <w:bCs/>
                <w:color w:val="000000"/>
                <w:sz w:val="20"/>
                <w:szCs w:val="20"/>
              </w:rPr>
              <w:t xml:space="preserve">-   </w:t>
            </w:r>
          </w:p>
        </w:tc>
        <w:tc>
          <w:tcPr>
            <w:tcW w:w="189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34,881,000.00</w:t>
            </w:r>
          </w:p>
        </w:tc>
      </w:tr>
      <w:tr w:rsidR="000B609E">
        <w:trPr>
          <w:trHeight w:hRule="exact" w:val="454"/>
        </w:trPr>
        <w:tc>
          <w:tcPr>
            <w:tcW w:w="2190"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proofErr w:type="gramStart"/>
            <w:r>
              <w:rPr>
                <w:rFonts w:ascii="Times New Roman" w:eastAsia="宋体" w:hAnsi="Times New Roman" w:cs="Times New Roman" w:hint="eastAsia"/>
                <w:kern w:val="0"/>
                <w:sz w:val="20"/>
                <w:szCs w:val="20"/>
              </w:rPr>
              <w:t>Add:a</w:t>
            </w:r>
            <w:r>
              <w:rPr>
                <w:rFonts w:ascii="Times New Roman" w:eastAsia="宋体" w:hAnsi="Times New Roman" w:cs="Times New Roman"/>
                <w:kern w:val="0"/>
                <w:sz w:val="20"/>
                <w:szCs w:val="20"/>
              </w:rPr>
              <w:t>ccrued</w:t>
            </w:r>
            <w:proofErr w:type="spellEnd"/>
            <w:proofErr w:type="gramEnd"/>
            <w:r>
              <w:rPr>
                <w:rFonts w:ascii="Times New Roman" w:eastAsia="宋体" w:hAnsi="Times New Roman" w:cs="Times New Roman"/>
                <w:kern w:val="0"/>
                <w:sz w:val="20"/>
                <w:szCs w:val="20"/>
              </w:rPr>
              <w:t xml:space="preserve"> Interest</w:t>
            </w:r>
          </w:p>
        </w:tc>
        <w:tc>
          <w:tcPr>
            <w:tcW w:w="185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color w:val="000000"/>
                <w:sz w:val="20"/>
                <w:szCs w:val="20"/>
              </w:rPr>
              <w:t xml:space="preserve">-   </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61,816.88</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color w:val="000000"/>
                <w:sz w:val="20"/>
                <w:szCs w:val="20"/>
              </w:rPr>
              <w:t xml:space="preserve">-   </w:t>
            </w:r>
          </w:p>
        </w:tc>
        <w:tc>
          <w:tcPr>
            <w:tcW w:w="189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61,816.88</w:t>
            </w:r>
          </w:p>
        </w:tc>
      </w:tr>
      <w:tr w:rsidR="000B609E">
        <w:trPr>
          <w:trHeight w:hRule="exact" w:val="454"/>
        </w:trPr>
        <w:tc>
          <w:tcPr>
            <w:tcW w:w="2190"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85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b/>
                <w:bCs/>
                <w:color w:val="000000"/>
                <w:sz w:val="20"/>
                <w:szCs w:val="20"/>
              </w:rPr>
              <w:t xml:space="preserve">-   </w:t>
            </w:r>
          </w:p>
        </w:tc>
        <w:tc>
          <w:tcPr>
            <w:tcW w:w="186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 xml:space="preserve">34,942,816.88 </w:t>
            </w:r>
          </w:p>
        </w:tc>
        <w:tc>
          <w:tcPr>
            <w:tcW w:w="187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b/>
                <w:bCs/>
                <w:color w:val="000000"/>
                <w:sz w:val="20"/>
                <w:szCs w:val="20"/>
              </w:rPr>
              <w:t xml:space="preserve">-   </w:t>
            </w:r>
          </w:p>
        </w:tc>
        <w:tc>
          <w:tcPr>
            <w:tcW w:w="1896"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 xml:space="preserve">34,942,816.88 </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Financial assets sold under repurchase agreements</w:t>
      </w:r>
    </w:p>
    <w:tbl>
      <w:tblPr>
        <w:tblW w:w="9684" w:type="dxa"/>
        <w:tblInd w:w="-533" w:type="dxa"/>
        <w:tblLayout w:type="fixed"/>
        <w:tblLook w:val="04A0" w:firstRow="1" w:lastRow="0" w:firstColumn="1" w:lastColumn="0" w:noHBand="0" w:noVBand="1"/>
      </w:tblPr>
      <w:tblGrid>
        <w:gridCol w:w="2184"/>
        <w:gridCol w:w="1872"/>
        <w:gridCol w:w="1860"/>
        <w:gridCol w:w="1896"/>
        <w:gridCol w:w="1872"/>
      </w:tblGrid>
      <w:tr w:rsidR="000B609E">
        <w:trPr>
          <w:trHeight w:val="324"/>
          <w:tblHeader/>
        </w:trPr>
        <w:tc>
          <w:tcPr>
            <w:tcW w:w="2184"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732"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768"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60"/>
          <w:tblHeader/>
        </w:trPr>
        <w:tc>
          <w:tcPr>
            <w:tcW w:w="2184"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8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8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8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872"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0B609E">
        <w:trPr>
          <w:trHeight w:hRule="exact" w:val="454"/>
        </w:trPr>
        <w:tc>
          <w:tcPr>
            <w:tcW w:w="218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Bonds</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color w:val="000000"/>
                <w:sz w:val="20"/>
                <w:szCs w:val="20"/>
              </w:rPr>
              <w:t>-</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497,000,000.00</w:t>
            </w:r>
          </w:p>
        </w:tc>
        <w:tc>
          <w:tcPr>
            <w:tcW w:w="18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color w:val="000000"/>
                <w:sz w:val="20"/>
                <w:szCs w:val="20"/>
              </w:rPr>
              <w:t xml:space="preserve">-   </w:t>
            </w:r>
          </w:p>
        </w:tc>
        <w:tc>
          <w:tcPr>
            <w:tcW w:w="1872"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497,000,000.00</w:t>
            </w:r>
          </w:p>
        </w:tc>
      </w:tr>
      <w:tr w:rsidR="000B609E">
        <w:trPr>
          <w:trHeight w:hRule="exact" w:val="454"/>
        </w:trPr>
        <w:tc>
          <w:tcPr>
            <w:tcW w:w="218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Bills</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color w:val="000000"/>
                <w:sz w:val="20"/>
                <w:szCs w:val="20"/>
              </w:rPr>
              <w:t>33,782,238.04</w:t>
            </w:r>
          </w:p>
        </w:tc>
        <w:tc>
          <w:tcPr>
            <w:tcW w:w="1860"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w:t>
            </w:r>
          </w:p>
        </w:tc>
        <w:tc>
          <w:tcPr>
            <w:tcW w:w="18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color w:val="000000"/>
                <w:sz w:val="20"/>
                <w:szCs w:val="20"/>
              </w:rPr>
              <w:t xml:space="preserve">-   </w:t>
            </w:r>
          </w:p>
        </w:tc>
        <w:tc>
          <w:tcPr>
            <w:tcW w:w="1872"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w:t>
            </w:r>
          </w:p>
        </w:tc>
      </w:tr>
      <w:tr w:rsidR="000B609E">
        <w:trPr>
          <w:trHeight w:hRule="exact" w:val="454"/>
        </w:trPr>
        <w:tc>
          <w:tcPr>
            <w:tcW w:w="218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kern w:val="0"/>
                <w:sz w:val="18"/>
                <w:szCs w:val="18"/>
              </w:rPr>
            </w:pPr>
            <w:r>
              <w:rPr>
                <w:rFonts w:ascii="Times New Roman" w:eastAsia="宋体" w:hAnsi="Times New Roman" w:cs="Times New Roman" w:hint="eastAsia"/>
                <w:b/>
                <w:kern w:val="0"/>
                <w:sz w:val="18"/>
                <w:szCs w:val="18"/>
              </w:rPr>
              <w:t>Subt</w:t>
            </w:r>
            <w:r>
              <w:rPr>
                <w:rFonts w:ascii="Times New Roman" w:eastAsia="宋体" w:hAnsi="Times New Roman" w:cs="Times New Roman"/>
                <w:b/>
                <w:kern w:val="0"/>
                <w:sz w:val="18"/>
                <w:szCs w:val="18"/>
              </w:rPr>
              <w:t>otal</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b/>
                <w:bCs/>
                <w:color w:val="000000"/>
                <w:sz w:val="20"/>
                <w:szCs w:val="20"/>
              </w:rPr>
              <w:t>33,782,238.04</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497,000,000.00</w:t>
            </w:r>
          </w:p>
        </w:tc>
        <w:tc>
          <w:tcPr>
            <w:tcW w:w="18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b/>
                <w:bCs/>
                <w:color w:val="000000"/>
                <w:sz w:val="20"/>
                <w:szCs w:val="20"/>
              </w:rPr>
              <w:t xml:space="preserve">-   </w:t>
            </w:r>
          </w:p>
        </w:tc>
        <w:tc>
          <w:tcPr>
            <w:tcW w:w="1872"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497,000,000.00</w:t>
            </w:r>
          </w:p>
        </w:tc>
      </w:tr>
      <w:tr w:rsidR="000B609E">
        <w:trPr>
          <w:trHeight w:hRule="exact" w:val="454"/>
        </w:trPr>
        <w:tc>
          <w:tcPr>
            <w:tcW w:w="218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proofErr w:type="gramStart"/>
            <w:r>
              <w:rPr>
                <w:rFonts w:ascii="Times New Roman" w:eastAsia="宋体" w:hAnsi="Times New Roman" w:cs="Times New Roman" w:hint="eastAsia"/>
                <w:kern w:val="0"/>
                <w:sz w:val="20"/>
                <w:szCs w:val="20"/>
              </w:rPr>
              <w:t>Add:a</w:t>
            </w:r>
            <w:r>
              <w:rPr>
                <w:rFonts w:ascii="Times New Roman" w:eastAsia="宋体" w:hAnsi="Times New Roman" w:cs="Times New Roman"/>
                <w:kern w:val="0"/>
                <w:sz w:val="20"/>
                <w:szCs w:val="20"/>
              </w:rPr>
              <w:t>ccrued</w:t>
            </w:r>
            <w:proofErr w:type="spellEnd"/>
            <w:proofErr w:type="gramEnd"/>
            <w:r>
              <w:rPr>
                <w:rFonts w:ascii="Times New Roman" w:eastAsia="宋体" w:hAnsi="Times New Roman" w:cs="Times New Roman"/>
                <w:kern w:val="0"/>
                <w:sz w:val="20"/>
                <w:szCs w:val="20"/>
              </w:rPr>
              <w:t xml:space="preserve"> Interest</w:t>
            </w:r>
          </w:p>
        </w:tc>
        <w:tc>
          <w:tcPr>
            <w:tcW w:w="18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color w:val="000000"/>
                <w:sz w:val="20"/>
                <w:szCs w:val="20"/>
              </w:rPr>
              <w:t>-</w:t>
            </w:r>
          </w:p>
        </w:tc>
        <w:tc>
          <w:tcPr>
            <w:tcW w:w="18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557,804.93</w:t>
            </w:r>
          </w:p>
        </w:tc>
        <w:tc>
          <w:tcPr>
            <w:tcW w:w="189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color w:val="000000"/>
                <w:sz w:val="20"/>
                <w:szCs w:val="20"/>
              </w:rPr>
              <w:t xml:space="preserve">-   </w:t>
            </w:r>
          </w:p>
        </w:tc>
        <w:tc>
          <w:tcPr>
            <w:tcW w:w="1872"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557,804.93</w:t>
            </w:r>
          </w:p>
        </w:tc>
      </w:tr>
      <w:tr w:rsidR="000B609E">
        <w:trPr>
          <w:trHeight w:hRule="exact" w:val="454"/>
        </w:trPr>
        <w:tc>
          <w:tcPr>
            <w:tcW w:w="2184"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87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b/>
                <w:bCs/>
                <w:color w:val="000000"/>
                <w:sz w:val="20"/>
                <w:szCs w:val="20"/>
              </w:rPr>
              <w:t>33,782,238.04</w:t>
            </w:r>
          </w:p>
        </w:tc>
        <w:tc>
          <w:tcPr>
            <w:tcW w:w="186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497,557,804.93</w:t>
            </w:r>
          </w:p>
        </w:tc>
        <w:tc>
          <w:tcPr>
            <w:tcW w:w="1896"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b/>
                <w:bCs/>
                <w:color w:val="000000"/>
                <w:sz w:val="20"/>
                <w:szCs w:val="20"/>
              </w:rPr>
              <w:t xml:space="preserve">-   </w:t>
            </w:r>
          </w:p>
        </w:tc>
        <w:tc>
          <w:tcPr>
            <w:tcW w:w="1872"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497,557,804.93</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Deposits from customers</w:t>
      </w:r>
    </w:p>
    <w:tbl>
      <w:tblPr>
        <w:tblW w:w="9667" w:type="dxa"/>
        <w:jc w:val="center"/>
        <w:tblLayout w:type="fixed"/>
        <w:tblLook w:val="04A0" w:firstRow="1" w:lastRow="0" w:firstColumn="1" w:lastColumn="0" w:noHBand="0" w:noVBand="1"/>
      </w:tblPr>
      <w:tblGrid>
        <w:gridCol w:w="1578"/>
        <w:gridCol w:w="2003"/>
        <w:gridCol w:w="1985"/>
        <w:gridCol w:w="1985"/>
        <w:gridCol w:w="2116"/>
      </w:tblGrid>
      <w:tr w:rsidR="000B609E">
        <w:trPr>
          <w:trHeight w:val="266"/>
          <w:tblHeader/>
          <w:jc w:val="center"/>
        </w:trPr>
        <w:tc>
          <w:tcPr>
            <w:tcW w:w="1578" w:type="dxa"/>
            <w:vMerge w:val="restart"/>
            <w:tcBorders>
              <w:top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988"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4101"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297"/>
          <w:tblHeader/>
          <w:jc w:val="center"/>
        </w:trPr>
        <w:tc>
          <w:tcPr>
            <w:tcW w:w="1578" w:type="dxa"/>
            <w:vMerge/>
            <w:tcBorders>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color w:val="000000"/>
                <w:kern w:val="0"/>
                <w:sz w:val="18"/>
                <w:szCs w:val="18"/>
              </w:rPr>
            </w:pPr>
          </w:p>
        </w:tc>
        <w:tc>
          <w:tcPr>
            <w:tcW w:w="20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color w:val="000000"/>
                <w:w w:val="9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color w:val="000000"/>
                <w:w w:val="9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color w:val="000000"/>
                <w:w w:val="9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2116"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color w:val="000000"/>
                <w:w w:val="9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0B609E">
        <w:trPr>
          <w:trHeight w:hRule="exact" w:val="454"/>
          <w:jc w:val="center"/>
        </w:trPr>
        <w:tc>
          <w:tcPr>
            <w:tcW w:w="157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Current deposits</w:t>
            </w:r>
          </w:p>
        </w:tc>
        <w:tc>
          <w:tcPr>
            <w:tcW w:w="20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9,940,642,212.29</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8,712,870,273.53 </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9,887,656,331.35</w:t>
            </w:r>
          </w:p>
        </w:tc>
        <w:tc>
          <w:tcPr>
            <w:tcW w:w="21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8,729,383,769.78 </w:t>
            </w:r>
          </w:p>
        </w:tc>
      </w:tr>
      <w:tr w:rsidR="000B609E">
        <w:trPr>
          <w:trHeight w:hRule="exact" w:val="454"/>
          <w:jc w:val="center"/>
        </w:trPr>
        <w:tc>
          <w:tcPr>
            <w:tcW w:w="157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360"/>
              <w:rPr>
                <w:rFonts w:ascii="Times New Roman" w:eastAsia="宋体" w:hAnsi="Times New Roman" w:cs="Times New Roman"/>
                <w:kern w:val="0"/>
                <w:sz w:val="18"/>
                <w:szCs w:val="18"/>
              </w:rPr>
            </w:pPr>
            <w:r>
              <w:rPr>
                <w:rFonts w:ascii="Times New Roman" w:eastAsia="宋体" w:hAnsi="Times New Roman" w:cs="Times New Roman"/>
                <w:kern w:val="0"/>
                <w:sz w:val="18"/>
                <w:szCs w:val="18"/>
              </w:rPr>
              <w:t>-Corporations</w:t>
            </w:r>
          </w:p>
        </w:tc>
        <w:tc>
          <w:tcPr>
            <w:tcW w:w="20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6,132,698,847.86</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5,382,314,662.66 </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6,141,037,493.93</w:t>
            </w:r>
          </w:p>
        </w:tc>
        <w:tc>
          <w:tcPr>
            <w:tcW w:w="21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5,406,507,157.53 </w:t>
            </w:r>
          </w:p>
        </w:tc>
      </w:tr>
      <w:tr w:rsidR="000B609E">
        <w:trPr>
          <w:trHeight w:hRule="exact" w:val="454"/>
          <w:jc w:val="center"/>
        </w:trPr>
        <w:tc>
          <w:tcPr>
            <w:tcW w:w="157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360"/>
              <w:rPr>
                <w:rFonts w:ascii="Times New Roman" w:eastAsia="宋体" w:hAnsi="Times New Roman" w:cs="Times New Roman"/>
                <w:kern w:val="0"/>
                <w:sz w:val="18"/>
                <w:szCs w:val="18"/>
              </w:rPr>
            </w:pPr>
            <w:r>
              <w:rPr>
                <w:rFonts w:ascii="Times New Roman" w:eastAsia="宋体" w:hAnsi="Times New Roman" w:cs="Times New Roman"/>
                <w:kern w:val="0"/>
                <w:sz w:val="18"/>
                <w:szCs w:val="18"/>
              </w:rPr>
              <w:t>-Individuals</w:t>
            </w:r>
          </w:p>
        </w:tc>
        <w:tc>
          <w:tcPr>
            <w:tcW w:w="20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3,807,943,364.43</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3,330,555,610.87 </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3,746,618,837.42</w:t>
            </w:r>
          </w:p>
        </w:tc>
        <w:tc>
          <w:tcPr>
            <w:tcW w:w="21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3,322,876,612.25 </w:t>
            </w:r>
          </w:p>
        </w:tc>
      </w:tr>
      <w:tr w:rsidR="000B609E">
        <w:trPr>
          <w:trHeight w:hRule="exact" w:val="454"/>
          <w:jc w:val="center"/>
        </w:trPr>
        <w:tc>
          <w:tcPr>
            <w:tcW w:w="157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Time deposits</w:t>
            </w:r>
          </w:p>
        </w:tc>
        <w:tc>
          <w:tcPr>
            <w:tcW w:w="20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23,786,719,678.88</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22,758,620,561.49 </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23,395,654,535.34</w:t>
            </w:r>
          </w:p>
        </w:tc>
        <w:tc>
          <w:tcPr>
            <w:tcW w:w="21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22,372,888,565.42 </w:t>
            </w:r>
          </w:p>
        </w:tc>
      </w:tr>
      <w:tr w:rsidR="000B609E">
        <w:trPr>
          <w:trHeight w:hRule="exact" w:val="623"/>
          <w:jc w:val="center"/>
        </w:trPr>
        <w:tc>
          <w:tcPr>
            <w:tcW w:w="157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360"/>
              <w:rPr>
                <w:rFonts w:ascii="Times New Roman" w:eastAsia="宋体" w:hAnsi="Times New Roman" w:cs="Times New Roman"/>
                <w:kern w:val="0"/>
                <w:sz w:val="18"/>
                <w:szCs w:val="18"/>
              </w:rPr>
            </w:pPr>
            <w:r>
              <w:rPr>
                <w:rFonts w:ascii="Times New Roman" w:eastAsia="宋体" w:hAnsi="Times New Roman" w:cs="Times New Roman"/>
                <w:kern w:val="0"/>
                <w:sz w:val="18"/>
                <w:szCs w:val="18"/>
              </w:rPr>
              <w:t>-Corporations</w:t>
            </w:r>
          </w:p>
        </w:tc>
        <w:tc>
          <w:tcPr>
            <w:tcW w:w="20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1,874,758,797.00</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2,122,831,453.40 </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1,709,933,763.74</w:t>
            </w:r>
          </w:p>
        </w:tc>
        <w:tc>
          <w:tcPr>
            <w:tcW w:w="21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1,931,174,849.51 </w:t>
            </w:r>
          </w:p>
        </w:tc>
      </w:tr>
      <w:tr w:rsidR="000B609E">
        <w:trPr>
          <w:trHeight w:hRule="exact" w:val="454"/>
          <w:jc w:val="center"/>
        </w:trPr>
        <w:tc>
          <w:tcPr>
            <w:tcW w:w="157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360"/>
              <w:rPr>
                <w:rFonts w:ascii="Times New Roman" w:eastAsia="宋体" w:hAnsi="Times New Roman" w:cs="Times New Roman"/>
                <w:kern w:val="0"/>
                <w:sz w:val="18"/>
                <w:szCs w:val="18"/>
              </w:rPr>
            </w:pPr>
            <w:r>
              <w:rPr>
                <w:rFonts w:ascii="Times New Roman" w:eastAsia="宋体" w:hAnsi="Times New Roman" w:cs="Times New Roman"/>
                <w:kern w:val="0"/>
                <w:sz w:val="18"/>
                <w:szCs w:val="18"/>
              </w:rPr>
              <w:t>-Individuals</w:t>
            </w:r>
          </w:p>
        </w:tc>
        <w:tc>
          <w:tcPr>
            <w:tcW w:w="20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21,911,960,881.88</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20,635,789,108.09 </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21,685,720,771.60</w:t>
            </w:r>
          </w:p>
        </w:tc>
        <w:tc>
          <w:tcPr>
            <w:tcW w:w="21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20,441,713,715.91 </w:t>
            </w:r>
          </w:p>
        </w:tc>
      </w:tr>
      <w:tr w:rsidR="000B609E">
        <w:trPr>
          <w:trHeight w:hRule="exact" w:val="454"/>
          <w:jc w:val="center"/>
        </w:trPr>
        <w:tc>
          <w:tcPr>
            <w:tcW w:w="157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Pledged deposits</w:t>
            </w:r>
          </w:p>
        </w:tc>
        <w:tc>
          <w:tcPr>
            <w:tcW w:w="20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252,031,979.46</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185,515,715.35 </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249,957,316.96</w:t>
            </w:r>
          </w:p>
        </w:tc>
        <w:tc>
          <w:tcPr>
            <w:tcW w:w="21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182,897,918.55 </w:t>
            </w:r>
          </w:p>
        </w:tc>
      </w:tr>
      <w:tr w:rsidR="000B609E">
        <w:trPr>
          <w:trHeight w:hRule="exact" w:val="454"/>
          <w:jc w:val="center"/>
        </w:trPr>
        <w:tc>
          <w:tcPr>
            <w:tcW w:w="157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Other deposits</w:t>
            </w:r>
          </w:p>
        </w:tc>
        <w:tc>
          <w:tcPr>
            <w:tcW w:w="20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12,200,873.54</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62,291,684.92 </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12,130,873.54</w:t>
            </w:r>
          </w:p>
        </w:tc>
        <w:tc>
          <w:tcPr>
            <w:tcW w:w="21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17,140,897.02 </w:t>
            </w:r>
          </w:p>
        </w:tc>
      </w:tr>
      <w:tr w:rsidR="000B609E">
        <w:trPr>
          <w:trHeight w:hRule="exact" w:val="800"/>
          <w:jc w:val="center"/>
        </w:trPr>
        <w:tc>
          <w:tcPr>
            <w:tcW w:w="157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kern w:val="0"/>
                <w:sz w:val="18"/>
                <w:szCs w:val="18"/>
              </w:rPr>
            </w:pPr>
            <w:r>
              <w:rPr>
                <w:rFonts w:ascii="Times New Roman" w:eastAsia="宋体" w:hAnsi="Times New Roman" w:cs="Times New Roman" w:hint="eastAsia"/>
                <w:b/>
                <w:kern w:val="0"/>
                <w:sz w:val="18"/>
                <w:szCs w:val="18"/>
              </w:rPr>
              <w:lastRenderedPageBreak/>
              <w:t>Subt</w:t>
            </w:r>
            <w:r>
              <w:rPr>
                <w:rFonts w:ascii="Times New Roman" w:eastAsia="宋体" w:hAnsi="Times New Roman" w:cs="Times New Roman"/>
                <w:b/>
                <w:kern w:val="0"/>
                <w:sz w:val="18"/>
                <w:szCs w:val="18"/>
              </w:rPr>
              <w:t>otal</w:t>
            </w:r>
          </w:p>
        </w:tc>
        <w:tc>
          <w:tcPr>
            <w:tcW w:w="20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 xml:space="preserve"> 33,991,594,744.17</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 xml:space="preserve"> 31,719,298,235.29 </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 xml:space="preserve">33,545,399,057.19 </w:t>
            </w:r>
          </w:p>
        </w:tc>
        <w:tc>
          <w:tcPr>
            <w:tcW w:w="21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 xml:space="preserve"> 31,302,311,150.77 </w:t>
            </w:r>
          </w:p>
        </w:tc>
      </w:tr>
      <w:tr w:rsidR="000B609E">
        <w:trPr>
          <w:trHeight w:hRule="exact" w:val="907"/>
          <w:jc w:val="center"/>
        </w:trPr>
        <w:tc>
          <w:tcPr>
            <w:tcW w:w="157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proofErr w:type="gramStart"/>
            <w:r>
              <w:rPr>
                <w:rFonts w:ascii="Times New Roman" w:eastAsia="宋体" w:hAnsi="Times New Roman" w:cs="Times New Roman" w:hint="eastAsia"/>
                <w:kern w:val="0"/>
                <w:sz w:val="20"/>
                <w:szCs w:val="20"/>
              </w:rPr>
              <w:t>Add:a</w:t>
            </w:r>
            <w:r>
              <w:rPr>
                <w:rFonts w:ascii="Times New Roman" w:eastAsia="宋体" w:hAnsi="Times New Roman" w:cs="Times New Roman"/>
                <w:kern w:val="0"/>
                <w:sz w:val="20"/>
                <w:szCs w:val="20"/>
              </w:rPr>
              <w:t>ccrued</w:t>
            </w:r>
            <w:proofErr w:type="spellEnd"/>
            <w:proofErr w:type="gramEnd"/>
            <w:r>
              <w:rPr>
                <w:rFonts w:ascii="Times New Roman" w:eastAsia="宋体" w:hAnsi="Times New Roman" w:cs="Times New Roman"/>
                <w:kern w:val="0"/>
                <w:sz w:val="20"/>
                <w:szCs w:val="20"/>
              </w:rPr>
              <w:t xml:space="preserve"> Interest</w:t>
            </w:r>
          </w:p>
        </w:tc>
        <w:tc>
          <w:tcPr>
            <w:tcW w:w="20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1,301,183,088.15</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1,161,933,986.03 </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1,280,527,805.08</w:t>
            </w:r>
          </w:p>
        </w:tc>
        <w:tc>
          <w:tcPr>
            <w:tcW w:w="21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color w:val="000000"/>
                <w:sz w:val="20"/>
                <w:szCs w:val="20"/>
              </w:rPr>
            </w:pPr>
            <w:r>
              <w:rPr>
                <w:rFonts w:ascii="Arial Narrow" w:hAnsi="Arial Narrow" w:cs="Calibri" w:hint="eastAsia"/>
                <w:color w:val="000000"/>
                <w:sz w:val="20"/>
                <w:szCs w:val="20"/>
              </w:rPr>
              <w:t xml:space="preserve"> 1,138,922,491.07 </w:t>
            </w:r>
          </w:p>
        </w:tc>
      </w:tr>
      <w:tr w:rsidR="000B609E">
        <w:trPr>
          <w:trHeight w:hRule="exact" w:val="454"/>
          <w:jc w:val="center"/>
        </w:trPr>
        <w:tc>
          <w:tcPr>
            <w:tcW w:w="1578"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2003"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35,292,777,832.32</w:t>
            </w:r>
          </w:p>
        </w:tc>
        <w:tc>
          <w:tcPr>
            <w:tcW w:w="1985"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32,881,232,221.32</w:t>
            </w:r>
          </w:p>
        </w:tc>
        <w:tc>
          <w:tcPr>
            <w:tcW w:w="1985"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34,825,926,862.27</w:t>
            </w:r>
          </w:p>
        </w:tc>
        <w:tc>
          <w:tcPr>
            <w:tcW w:w="2116"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b/>
                <w:bCs/>
                <w:color w:val="000000"/>
                <w:sz w:val="20"/>
                <w:szCs w:val="20"/>
              </w:rPr>
            </w:pPr>
            <w:r>
              <w:rPr>
                <w:rFonts w:ascii="Arial Narrow" w:hAnsi="Arial Narrow" w:cs="Calibri" w:hint="eastAsia"/>
                <w:b/>
                <w:bCs/>
                <w:color w:val="000000"/>
                <w:sz w:val="20"/>
                <w:szCs w:val="20"/>
              </w:rPr>
              <w:t>32,441,233,641.84</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Employee benefits payable</w:t>
      </w:r>
    </w:p>
    <w:p w:rsidR="000B609E" w:rsidRDefault="00B220E1">
      <w:pPr>
        <w:spacing w:beforeLines="50" w:before="156"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Group:</w:t>
      </w:r>
    </w:p>
    <w:p w:rsidR="000B609E" w:rsidRDefault="00B220E1">
      <w:pPr>
        <w:pStyle w:val="11"/>
        <w:numPr>
          <w:ilvl w:val="0"/>
          <w:numId w:val="32"/>
        </w:numPr>
        <w:spacing w:after="156"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 xml:space="preserve">Classification of </w:t>
      </w:r>
      <w:r>
        <w:rPr>
          <w:rFonts w:ascii="Times New Roman" w:hAnsi="Times New Roman" w:cs="Times New Roman"/>
          <w:sz w:val="24"/>
          <w:szCs w:val="24"/>
        </w:rPr>
        <w:t>employee</w:t>
      </w:r>
      <w:r>
        <w:rPr>
          <w:rFonts w:ascii="Times New Roman" w:hAnsi="Times New Roman" w:cs="Times New Roman" w:hint="eastAsia"/>
          <w:sz w:val="24"/>
          <w:szCs w:val="24"/>
        </w:rPr>
        <w:t xml:space="preserve"> benefits payable</w:t>
      </w:r>
    </w:p>
    <w:tbl>
      <w:tblPr>
        <w:tblW w:w="9723" w:type="dxa"/>
        <w:jc w:val="center"/>
        <w:tblBorders>
          <w:top w:val="double" w:sz="6" w:space="0" w:color="auto"/>
          <w:bottom w:val="double" w:sz="6" w:space="0" w:color="auto"/>
          <w:insideH w:val="single" w:sz="8" w:space="0" w:color="auto"/>
          <w:insideV w:val="single" w:sz="8" w:space="0" w:color="auto"/>
        </w:tblBorders>
        <w:tblLayout w:type="fixed"/>
        <w:tblLook w:val="04A0" w:firstRow="1" w:lastRow="0" w:firstColumn="1" w:lastColumn="0" w:noHBand="0" w:noVBand="1"/>
      </w:tblPr>
      <w:tblGrid>
        <w:gridCol w:w="2042"/>
        <w:gridCol w:w="2089"/>
        <w:gridCol w:w="1824"/>
        <w:gridCol w:w="1932"/>
        <w:gridCol w:w="1836"/>
      </w:tblGrid>
      <w:tr w:rsidR="000B609E">
        <w:trPr>
          <w:trHeight w:val="267"/>
          <w:jc w:val="center"/>
        </w:trPr>
        <w:tc>
          <w:tcPr>
            <w:tcW w:w="2042" w:type="dxa"/>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2089"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1824"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Addition</w:t>
            </w:r>
          </w:p>
        </w:tc>
        <w:tc>
          <w:tcPr>
            <w:tcW w:w="1932"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Payment</w:t>
            </w:r>
          </w:p>
        </w:tc>
        <w:tc>
          <w:tcPr>
            <w:tcW w:w="1836"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hRule="exact" w:val="907"/>
          <w:jc w:val="center"/>
        </w:trPr>
        <w:tc>
          <w:tcPr>
            <w:tcW w:w="2042"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snapToGrid w:val="0"/>
                <w:color w:val="000000"/>
                <w:kern w:val="0"/>
                <w:sz w:val="18"/>
                <w:szCs w:val="18"/>
                <w:lang w:val="en-GB" w:eastAsia="en-US"/>
              </w:rPr>
              <w:t>Short-term employee benefits payable</w:t>
            </w:r>
          </w:p>
        </w:tc>
        <w:tc>
          <w:tcPr>
            <w:tcW w:w="2089"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96,676,827.89 </w:t>
            </w:r>
          </w:p>
        </w:tc>
        <w:tc>
          <w:tcPr>
            <w:tcW w:w="182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174,963,815.74</w:t>
            </w:r>
          </w:p>
        </w:tc>
        <w:tc>
          <w:tcPr>
            <w:tcW w:w="193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151,106,961.97</w:t>
            </w:r>
          </w:p>
        </w:tc>
        <w:tc>
          <w:tcPr>
            <w:tcW w:w="183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120,533,681.66</w:t>
            </w:r>
          </w:p>
        </w:tc>
      </w:tr>
      <w:tr w:rsidR="000B609E">
        <w:trPr>
          <w:trHeight w:hRule="exact" w:val="454"/>
          <w:jc w:val="center"/>
        </w:trPr>
        <w:tc>
          <w:tcPr>
            <w:tcW w:w="2042" w:type="dxa"/>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color w:val="000000"/>
                <w:kern w:val="0"/>
                <w:sz w:val="18"/>
                <w:szCs w:val="18"/>
                <w:lang w:val="en-GB"/>
              </w:rPr>
            </w:pPr>
            <w:r>
              <w:rPr>
                <w:rFonts w:ascii="Times New Roman" w:eastAsia="宋体" w:hAnsi="Times New Roman" w:cs="Times New Roman"/>
                <w:snapToGrid w:val="0"/>
                <w:color w:val="000000"/>
                <w:kern w:val="0"/>
                <w:sz w:val="18"/>
                <w:szCs w:val="18"/>
                <w:lang w:val="en-GB"/>
              </w:rPr>
              <w:t>Retirement benefits</w:t>
            </w:r>
          </w:p>
        </w:tc>
        <w:tc>
          <w:tcPr>
            <w:tcW w:w="2089" w:type="dxa"/>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r w:rsidR="00B220E1">
              <w:rPr>
                <w:rFonts w:ascii="Arial Narrow" w:eastAsia="宋体" w:hAnsi="Arial Narrow" w:cs="Arial Narrow" w:hint="eastAsia"/>
                <w:snapToGrid w:val="0"/>
                <w:kern w:val="0"/>
                <w:sz w:val="20"/>
                <w:szCs w:val="20"/>
              </w:rPr>
              <w:t xml:space="preserve">  </w:t>
            </w:r>
          </w:p>
        </w:tc>
        <w:tc>
          <w:tcPr>
            <w:tcW w:w="182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11,575,731.72</w:t>
            </w:r>
          </w:p>
        </w:tc>
        <w:tc>
          <w:tcPr>
            <w:tcW w:w="193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8,863,731.72</w:t>
            </w:r>
          </w:p>
        </w:tc>
        <w:tc>
          <w:tcPr>
            <w:tcW w:w="183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2,712,000.00</w:t>
            </w:r>
          </w:p>
        </w:tc>
      </w:tr>
      <w:tr w:rsidR="000B609E">
        <w:trPr>
          <w:trHeight w:hRule="exact" w:val="454"/>
          <w:jc w:val="center"/>
        </w:trPr>
        <w:tc>
          <w:tcPr>
            <w:tcW w:w="2042" w:type="dxa"/>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color w:val="000000"/>
                <w:kern w:val="0"/>
                <w:sz w:val="18"/>
                <w:szCs w:val="18"/>
                <w:lang w:val="en-GB"/>
              </w:rPr>
            </w:pPr>
            <w:r>
              <w:rPr>
                <w:rFonts w:ascii="Times New Roman" w:eastAsia="宋体" w:hAnsi="Times New Roman" w:cs="Times New Roman"/>
                <w:snapToGrid w:val="0"/>
                <w:color w:val="000000"/>
                <w:kern w:val="0"/>
                <w:sz w:val="18"/>
                <w:szCs w:val="18"/>
                <w:lang w:val="en-GB"/>
              </w:rPr>
              <w:t xml:space="preserve">Dismiss on welfare </w:t>
            </w:r>
          </w:p>
        </w:tc>
        <w:tc>
          <w:tcPr>
            <w:tcW w:w="2089"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2,967,239.36 </w:t>
            </w:r>
          </w:p>
        </w:tc>
        <w:tc>
          <w:tcPr>
            <w:tcW w:w="182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3,552,603.06</w:t>
            </w:r>
          </w:p>
        </w:tc>
        <w:tc>
          <w:tcPr>
            <w:tcW w:w="193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963,646.40</w:t>
            </w:r>
          </w:p>
        </w:tc>
        <w:tc>
          <w:tcPr>
            <w:tcW w:w="183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5,556,196.02</w:t>
            </w:r>
          </w:p>
        </w:tc>
      </w:tr>
      <w:tr w:rsidR="000B609E">
        <w:trPr>
          <w:trHeight w:hRule="exact" w:val="454"/>
          <w:jc w:val="center"/>
        </w:trPr>
        <w:tc>
          <w:tcPr>
            <w:tcW w:w="2042" w:type="dxa"/>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snapToGrid w:val="0"/>
                <w:color w:val="000000"/>
                <w:kern w:val="0"/>
                <w:sz w:val="18"/>
                <w:szCs w:val="18"/>
                <w:lang w:val="en-GB"/>
              </w:rPr>
            </w:pPr>
            <w:r>
              <w:rPr>
                <w:rFonts w:ascii="Times New Roman" w:eastAsia="宋体" w:hAnsi="Times New Roman" w:cs="Times New Roman"/>
                <w:b/>
                <w:bCs/>
                <w:snapToGrid w:val="0"/>
                <w:color w:val="000000"/>
                <w:kern w:val="0"/>
                <w:sz w:val="18"/>
                <w:szCs w:val="18"/>
                <w:lang w:val="en-GB"/>
              </w:rPr>
              <w:t>Total</w:t>
            </w:r>
          </w:p>
        </w:tc>
        <w:tc>
          <w:tcPr>
            <w:tcW w:w="2089"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99,644,067.25 </w:t>
            </w:r>
          </w:p>
        </w:tc>
        <w:tc>
          <w:tcPr>
            <w:tcW w:w="1824"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190,092,150.52</w:t>
            </w:r>
          </w:p>
        </w:tc>
        <w:tc>
          <w:tcPr>
            <w:tcW w:w="1932"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160,934,340.09</w:t>
            </w:r>
          </w:p>
        </w:tc>
        <w:tc>
          <w:tcPr>
            <w:tcW w:w="1836"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128,801,877.68</w:t>
            </w:r>
          </w:p>
        </w:tc>
      </w:tr>
    </w:tbl>
    <w:p w:rsidR="000B609E" w:rsidRDefault="00B220E1">
      <w:pPr>
        <w:pStyle w:val="11"/>
        <w:numPr>
          <w:ilvl w:val="0"/>
          <w:numId w:val="32"/>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Short-term employee benefits payable</w:t>
      </w:r>
    </w:p>
    <w:tbl>
      <w:tblPr>
        <w:tblW w:w="9820" w:type="dxa"/>
        <w:tblInd w:w="-612" w:type="dxa"/>
        <w:tblLayout w:type="fixed"/>
        <w:tblLook w:val="04A0" w:firstRow="1" w:lastRow="0" w:firstColumn="1" w:lastColumn="0" w:noHBand="0" w:noVBand="1"/>
      </w:tblPr>
      <w:tblGrid>
        <w:gridCol w:w="2482"/>
        <w:gridCol w:w="1622"/>
        <w:gridCol w:w="1852"/>
        <w:gridCol w:w="1812"/>
        <w:gridCol w:w="2052"/>
      </w:tblGrid>
      <w:tr w:rsidR="000B609E">
        <w:trPr>
          <w:trHeight w:val="300"/>
          <w:tblHeader/>
        </w:trPr>
        <w:tc>
          <w:tcPr>
            <w:tcW w:w="2482" w:type="dxa"/>
            <w:tcBorders>
              <w:top w:val="double" w:sz="6" w:space="0" w:color="auto"/>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1622" w:type="dxa"/>
            <w:tcBorders>
              <w:top w:val="double" w:sz="6" w:space="0" w:color="auto"/>
              <w:left w:val="nil"/>
              <w:bottom w:val="single" w:sz="8" w:space="0" w:color="auto"/>
              <w:right w:val="single" w:sz="8"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1852" w:type="dxa"/>
            <w:tcBorders>
              <w:top w:val="double" w:sz="6" w:space="0" w:color="auto"/>
              <w:left w:val="nil"/>
              <w:bottom w:val="single" w:sz="8" w:space="0" w:color="auto"/>
              <w:right w:val="single" w:sz="8"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Addition</w:t>
            </w:r>
          </w:p>
        </w:tc>
        <w:tc>
          <w:tcPr>
            <w:tcW w:w="1812" w:type="dxa"/>
            <w:tcBorders>
              <w:top w:val="double" w:sz="6" w:space="0" w:color="auto"/>
              <w:left w:val="nil"/>
              <w:bottom w:val="single" w:sz="8" w:space="0" w:color="auto"/>
              <w:right w:val="single" w:sz="8"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Payment</w:t>
            </w:r>
          </w:p>
        </w:tc>
        <w:tc>
          <w:tcPr>
            <w:tcW w:w="2052" w:type="dxa"/>
            <w:tcBorders>
              <w:top w:val="double" w:sz="6" w:space="0" w:color="auto"/>
              <w:left w:val="nil"/>
              <w:bottom w:val="single" w:sz="8" w:space="0" w:color="auto"/>
              <w:right w:val="nil"/>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hRule="exact" w:val="907"/>
        </w:trPr>
        <w:tc>
          <w:tcPr>
            <w:tcW w:w="248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Wages and salaries, bonus, allowances and subsidies</w:t>
            </w:r>
          </w:p>
        </w:tc>
        <w:tc>
          <w:tcPr>
            <w:tcW w:w="162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91,522,812.84 </w:t>
            </w:r>
          </w:p>
        </w:tc>
        <w:tc>
          <w:tcPr>
            <w:tcW w:w="185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126,150,171.21</w:t>
            </w:r>
          </w:p>
        </w:tc>
        <w:tc>
          <w:tcPr>
            <w:tcW w:w="181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103,209,302.39</w:t>
            </w:r>
          </w:p>
        </w:tc>
        <w:tc>
          <w:tcPr>
            <w:tcW w:w="2052"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114,463,681.66</w:t>
            </w:r>
          </w:p>
        </w:tc>
      </w:tr>
      <w:tr w:rsidR="000B609E">
        <w:trPr>
          <w:trHeight w:hRule="exact" w:val="454"/>
        </w:trPr>
        <w:tc>
          <w:tcPr>
            <w:tcW w:w="248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Staff welfare</w:t>
            </w:r>
          </w:p>
        </w:tc>
        <w:tc>
          <w:tcPr>
            <w:tcW w:w="1622" w:type="dxa"/>
            <w:tcBorders>
              <w:top w:val="nil"/>
              <w:left w:val="nil"/>
              <w:bottom w:val="single" w:sz="8" w:space="0" w:color="auto"/>
              <w:right w:val="single" w:sz="8"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r w:rsidR="00B220E1">
              <w:rPr>
                <w:rFonts w:ascii="Arial Narrow" w:eastAsia="宋体" w:hAnsi="Arial Narrow" w:cs="Arial Narrow" w:hint="eastAsia"/>
                <w:snapToGrid w:val="0"/>
                <w:kern w:val="0"/>
                <w:sz w:val="20"/>
                <w:szCs w:val="20"/>
              </w:rPr>
              <w:t xml:space="preserve">  </w:t>
            </w:r>
          </w:p>
        </w:tc>
        <w:tc>
          <w:tcPr>
            <w:tcW w:w="185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18,818,578.20</w:t>
            </w:r>
          </w:p>
        </w:tc>
        <w:tc>
          <w:tcPr>
            <w:tcW w:w="181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both"/>
              <w:rPr>
                <w:rFonts w:ascii="Arial Narrow" w:eastAsia="宋体" w:hAnsi="Arial Narrow" w:cs="Arial Narrow"/>
                <w:snapToGrid w:val="0"/>
                <w:kern w:val="0"/>
                <w:sz w:val="20"/>
                <w:szCs w:val="20"/>
              </w:rPr>
            </w:pPr>
            <w:r>
              <w:rPr>
                <w:rFonts w:ascii="Arial Narrow" w:hAnsi="Arial Narrow" w:hint="eastAsia"/>
                <w:color w:val="000000"/>
                <w:sz w:val="20"/>
                <w:szCs w:val="20"/>
              </w:rPr>
              <w:t xml:space="preserve">     </w:t>
            </w:r>
            <w:r>
              <w:rPr>
                <w:rFonts w:ascii="Arial Narrow" w:hAnsi="Arial Narrow"/>
                <w:color w:val="000000"/>
                <w:sz w:val="20"/>
                <w:szCs w:val="20"/>
              </w:rPr>
              <w:t>18,818,578.20</w:t>
            </w:r>
          </w:p>
        </w:tc>
        <w:tc>
          <w:tcPr>
            <w:tcW w:w="2052"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p>
        </w:tc>
      </w:tr>
      <w:tr w:rsidR="000B609E">
        <w:trPr>
          <w:trHeight w:hRule="exact" w:val="454"/>
        </w:trPr>
        <w:tc>
          <w:tcPr>
            <w:tcW w:w="248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Employee education funds</w:t>
            </w:r>
          </w:p>
        </w:tc>
        <w:tc>
          <w:tcPr>
            <w:tcW w:w="162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87,515.05 </w:t>
            </w:r>
          </w:p>
        </w:tc>
        <w:tc>
          <w:tcPr>
            <w:tcW w:w="185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651,811.49</w:t>
            </w:r>
          </w:p>
        </w:tc>
        <w:tc>
          <w:tcPr>
            <w:tcW w:w="181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739,326.54</w:t>
            </w:r>
          </w:p>
        </w:tc>
        <w:tc>
          <w:tcPr>
            <w:tcW w:w="2052"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p>
        </w:tc>
      </w:tr>
      <w:tr w:rsidR="000B609E">
        <w:trPr>
          <w:trHeight w:hRule="exact" w:val="454"/>
        </w:trPr>
        <w:tc>
          <w:tcPr>
            <w:tcW w:w="248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Labor union funds</w:t>
            </w:r>
          </w:p>
        </w:tc>
        <w:tc>
          <w:tcPr>
            <w:tcW w:w="1622" w:type="dxa"/>
            <w:tcBorders>
              <w:top w:val="nil"/>
              <w:left w:val="nil"/>
              <w:bottom w:val="single" w:sz="8" w:space="0" w:color="auto"/>
              <w:right w:val="single" w:sz="8"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r w:rsidR="00B220E1">
              <w:rPr>
                <w:rFonts w:ascii="Arial Narrow" w:eastAsia="宋体" w:hAnsi="Arial Narrow" w:cs="Arial Narrow" w:hint="eastAsia"/>
                <w:snapToGrid w:val="0"/>
                <w:kern w:val="0"/>
                <w:sz w:val="20"/>
                <w:szCs w:val="20"/>
              </w:rPr>
              <w:t xml:space="preserve">  </w:t>
            </w:r>
          </w:p>
        </w:tc>
        <w:tc>
          <w:tcPr>
            <w:tcW w:w="185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2,548,075.52</w:t>
            </w:r>
          </w:p>
        </w:tc>
        <w:tc>
          <w:tcPr>
            <w:tcW w:w="181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2,548,075.52</w:t>
            </w:r>
          </w:p>
        </w:tc>
        <w:tc>
          <w:tcPr>
            <w:tcW w:w="2052"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p>
        </w:tc>
      </w:tr>
      <w:tr w:rsidR="000B609E">
        <w:trPr>
          <w:trHeight w:hRule="exact" w:val="454"/>
        </w:trPr>
        <w:tc>
          <w:tcPr>
            <w:tcW w:w="248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Medical insurance</w:t>
            </w:r>
          </w:p>
        </w:tc>
        <w:tc>
          <w:tcPr>
            <w:tcW w:w="162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5,066,500.00 </w:t>
            </w:r>
          </w:p>
        </w:tc>
        <w:tc>
          <w:tcPr>
            <w:tcW w:w="185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13,816,497.39</w:t>
            </w:r>
          </w:p>
        </w:tc>
        <w:tc>
          <w:tcPr>
            <w:tcW w:w="181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12,812,997.39</w:t>
            </w:r>
          </w:p>
        </w:tc>
        <w:tc>
          <w:tcPr>
            <w:tcW w:w="2052"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6,070,000.00</w:t>
            </w:r>
          </w:p>
        </w:tc>
      </w:tr>
      <w:tr w:rsidR="000B609E">
        <w:trPr>
          <w:trHeight w:hRule="exact" w:val="907"/>
        </w:trPr>
        <w:tc>
          <w:tcPr>
            <w:tcW w:w="248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Employment injury insurance &amp; maternity insurance</w:t>
            </w:r>
          </w:p>
        </w:tc>
        <w:tc>
          <w:tcPr>
            <w:tcW w:w="1622" w:type="dxa"/>
            <w:tcBorders>
              <w:top w:val="nil"/>
              <w:left w:val="nil"/>
              <w:bottom w:val="single" w:sz="8" w:space="0" w:color="auto"/>
              <w:right w:val="single" w:sz="8"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85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75,541.93</w:t>
            </w:r>
          </w:p>
        </w:tc>
        <w:tc>
          <w:tcPr>
            <w:tcW w:w="181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75,541.93</w:t>
            </w:r>
          </w:p>
        </w:tc>
        <w:tc>
          <w:tcPr>
            <w:tcW w:w="2052"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p>
        </w:tc>
      </w:tr>
      <w:tr w:rsidR="000B609E">
        <w:trPr>
          <w:trHeight w:hRule="exact" w:val="454"/>
        </w:trPr>
        <w:tc>
          <w:tcPr>
            <w:tcW w:w="248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Housing funds</w:t>
            </w:r>
          </w:p>
        </w:tc>
        <w:tc>
          <w:tcPr>
            <w:tcW w:w="1622" w:type="dxa"/>
            <w:tcBorders>
              <w:top w:val="nil"/>
              <w:left w:val="nil"/>
              <w:bottom w:val="single" w:sz="8" w:space="0" w:color="auto"/>
              <w:right w:val="single" w:sz="8"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85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12,903,140.00</w:t>
            </w:r>
          </w:p>
        </w:tc>
        <w:tc>
          <w:tcPr>
            <w:tcW w:w="1812"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12,903,140.00</w:t>
            </w:r>
          </w:p>
        </w:tc>
        <w:tc>
          <w:tcPr>
            <w:tcW w:w="2052"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p>
        </w:tc>
      </w:tr>
      <w:tr w:rsidR="000B609E">
        <w:trPr>
          <w:trHeight w:hRule="exact" w:val="454"/>
        </w:trPr>
        <w:tc>
          <w:tcPr>
            <w:tcW w:w="2482" w:type="dxa"/>
            <w:tcBorders>
              <w:top w:val="nil"/>
              <w:left w:val="nil"/>
              <w:bottom w:val="double" w:sz="4" w:space="0" w:color="auto"/>
              <w:right w:val="single" w:sz="8"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Total</w:t>
            </w:r>
          </w:p>
        </w:tc>
        <w:tc>
          <w:tcPr>
            <w:tcW w:w="1622" w:type="dxa"/>
            <w:tcBorders>
              <w:top w:val="nil"/>
              <w:left w:val="nil"/>
              <w:bottom w:val="double" w:sz="4"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96,676,827.89 </w:t>
            </w:r>
          </w:p>
        </w:tc>
        <w:tc>
          <w:tcPr>
            <w:tcW w:w="1852" w:type="dxa"/>
            <w:tcBorders>
              <w:top w:val="nil"/>
              <w:left w:val="nil"/>
              <w:bottom w:val="double" w:sz="4"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174,963,815.74</w:t>
            </w:r>
          </w:p>
        </w:tc>
        <w:tc>
          <w:tcPr>
            <w:tcW w:w="1812" w:type="dxa"/>
            <w:tcBorders>
              <w:top w:val="nil"/>
              <w:left w:val="nil"/>
              <w:bottom w:val="double" w:sz="4"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151,106,961.97</w:t>
            </w:r>
          </w:p>
        </w:tc>
        <w:tc>
          <w:tcPr>
            <w:tcW w:w="2052"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120,533,681.66</w:t>
            </w:r>
          </w:p>
        </w:tc>
      </w:tr>
    </w:tbl>
    <w:p w:rsidR="000B609E" w:rsidRDefault="00B220E1">
      <w:pPr>
        <w:pStyle w:val="11"/>
        <w:numPr>
          <w:ilvl w:val="0"/>
          <w:numId w:val="32"/>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lastRenderedPageBreak/>
        <w:t>Retirement benefits</w:t>
      </w:r>
    </w:p>
    <w:tbl>
      <w:tblPr>
        <w:tblW w:w="9796" w:type="dxa"/>
        <w:tblInd w:w="-612" w:type="dxa"/>
        <w:tblBorders>
          <w:top w:val="double" w:sz="6" w:space="0" w:color="auto"/>
          <w:bottom w:val="double" w:sz="6" w:space="0" w:color="auto"/>
          <w:insideH w:val="single" w:sz="8" w:space="0" w:color="auto"/>
          <w:insideV w:val="single" w:sz="8" w:space="0" w:color="auto"/>
        </w:tblBorders>
        <w:tblLayout w:type="fixed"/>
        <w:tblLook w:val="04A0" w:firstRow="1" w:lastRow="0" w:firstColumn="1" w:lastColumn="0" w:noHBand="0" w:noVBand="1"/>
      </w:tblPr>
      <w:tblGrid>
        <w:gridCol w:w="2502"/>
        <w:gridCol w:w="1735"/>
        <w:gridCol w:w="1923"/>
        <w:gridCol w:w="1764"/>
        <w:gridCol w:w="1872"/>
      </w:tblGrid>
      <w:tr w:rsidR="000B609E">
        <w:trPr>
          <w:trHeight w:val="890"/>
          <w:tblHeader/>
        </w:trPr>
        <w:tc>
          <w:tcPr>
            <w:tcW w:w="2502"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1735"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1923"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Addition</w:t>
            </w:r>
          </w:p>
        </w:tc>
        <w:tc>
          <w:tcPr>
            <w:tcW w:w="1764"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Payment</w:t>
            </w:r>
          </w:p>
        </w:tc>
        <w:tc>
          <w:tcPr>
            <w:tcW w:w="1872"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hRule="exact" w:val="454"/>
        </w:trPr>
        <w:tc>
          <w:tcPr>
            <w:tcW w:w="2502"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Basic Endowment insurance</w:t>
            </w:r>
          </w:p>
        </w:tc>
        <w:tc>
          <w:tcPr>
            <w:tcW w:w="1735" w:type="dxa"/>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w:t>
            </w:r>
          </w:p>
        </w:tc>
        <w:tc>
          <w:tcPr>
            <w:tcW w:w="1923"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1,332,959.52</w:t>
            </w:r>
          </w:p>
        </w:tc>
        <w:tc>
          <w:tcPr>
            <w:tcW w:w="176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1,332,959.52</w:t>
            </w:r>
          </w:p>
        </w:tc>
        <w:tc>
          <w:tcPr>
            <w:tcW w:w="1872" w:type="dxa"/>
            <w:shd w:val="clear" w:color="auto" w:fill="auto"/>
            <w:vAlign w:val="center"/>
          </w:tcPr>
          <w:p w:rsidR="000B609E" w:rsidRDefault="00B220E1">
            <w:pPr>
              <w:spacing w:afterLines="0" w:after="0"/>
              <w:ind w:firstLine="400"/>
              <w:jc w:val="right"/>
              <w:rPr>
                <w:rFonts w:ascii="Arial Narrow" w:hAnsi="Arial Narrow" w:cs="宋体"/>
                <w:color w:val="000000"/>
                <w:sz w:val="20"/>
                <w:szCs w:val="20"/>
                <w:lang w:bidi="ar"/>
              </w:rPr>
            </w:pPr>
            <w:r>
              <w:rPr>
                <w:rFonts w:ascii="Arial Narrow" w:hAnsi="Arial Narrow" w:hint="eastAsia"/>
                <w:color w:val="000000"/>
                <w:sz w:val="20"/>
                <w:szCs w:val="20"/>
              </w:rPr>
              <w:t>-</w:t>
            </w:r>
          </w:p>
        </w:tc>
      </w:tr>
      <w:tr w:rsidR="000B609E">
        <w:trPr>
          <w:trHeight w:hRule="exact" w:val="454"/>
        </w:trPr>
        <w:tc>
          <w:tcPr>
            <w:tcW w:w="2502"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Corporation pension plan</w:t>
            </w:r>
          </w:p>
        </w:tc>
        <w:tc>
          <w:tcPr>
            <w:tcW w:w="1735" w:type="dxa"/>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w:t>
            </w:r>
          </w:p>
        </w:tc>
        <w:tc>
          <w:tcPr>
            <w:tcW w:w="1923"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9,712,000.00</w:t>
            </w:r>
          </w:p>
        </w:tc>
        <w:tc>
          <w:tcPr>
            <w:tcW w:w="176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7,000,000.00</w:t>
            </w:r>
          </w:p>
        </w:tc>
        <w:tc>
          <w:tcPr>
            <w:tcW w:w="1872" w:type="dxa"/>
            <w:shd w:val="clear" w:color="auto" w:fill="auto"/>
            <w:vAlign w:val="center"/>
          </w:tcPr>
          <w:p w:rsidR="000B609E" w:rsidRDefault="00B220E1">
            <w:pPr>
              <w:spacing w:afterLines="0" w:after="0"/>
              <w:ind w:firstLine="400"/>
              <w:jc w:val="right"/>
              <w:rPr>
                <w:rFonts w:ascii="Arial Narrow" w:hAnsi="Arial Narrow" w:cs="宋体"/>
                <w:color w:val="000000"/>
                <w:sz w:val="20"/>
                <w:szCs w:val="20"/>
                <w:lang w:bidi="ar"/>
              </w:rPr>
            </w:pPr>
            <w:r>
              <w:rPr>
                <w:rFonts w:ascii="Arial Narrow" w:hAnsi="Arial Narrow"/>
                <w:color w:val="000000"/>
                <w:sz w:val="20"/>
                <w:szCs w:val="20"/>
              </w:rPr>
              <w:t>2,712,000.00</w:t>
            </w:r>
          </w:p>
        </w:tc>
      </w:tr>
      <w:tr w:rsidR="000B609E">
        <w:trPr>
          <w:trHeight w:hRule="exact" w:val="454"/>
        </w:trPr>
        <w:tc>
          <w:tcPr>
            <w:tcW w:w="2502" w:type="dxa"/>
            <w:shd w:val="clear" w:color="auto" w:fill="auto"/>
            <w:vAlign w:val="center"/>
          </w:tcPr>
          <w:p w:rsidR="000B609E" w:rsidRDefault="00B220E1">
            <w:pPr>
              <w:spacing w:afterLines="0" w:after="0"/>
              <w:ind w:firstLineChars="0" w:firstLine="0"/>
              <w:rPr>
                <w:rFonts w:ascii="Times New Roman" w:eastAsia="宋体" w:hAnsi="Times New Roman" w:cs="Times New Roman"/>
                <w:b/>
                <w:bCs/>
                <w:color w:val="000000"/>
                <w:kern w:val="0"/>
                <w:sz w:val="18"/>
                <w:szCs w:val="18"/>
              </w:rPr>
            </w:pPr>
            <w:r>
              <w:rPr>
                <w:rFonts w:ascii="Times New Roman" w:eastAsia="宋体" w:hAnsi="Times New Roman" w:cs="Times New Roman"/>
                <w:bCs/>
                <w:color w:val="000000"/>
                <w:kern w:val="0"/>
                <w:sz w:val="18"/>
                <w:szCs w:val="18"/>
              </w:rPr>
              <w:t>Unemployment insurance</w:t>
            </w:r>
          </w:p>
        </w:tc>
        <w:tc>
          <w:tcPr>
            <w:tcW w:w="1735" w:type="dxa"/>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w:t>
            </w:r>
          </w:p>
        </w:tc>
        <w:tc>
          <w:tcPr>
            <w:tcW w:w="1923"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530,772.20</w:t>
            </w:r>
          </w:p>
        </w:tc>
        <w:tc>
          <w:tcPr>
            <w:tcW w:w="176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530,772.20</w:t>
            </w:r>
          </w:p>
        </w:tc>
        <w:tc>
          <w:tcPr>
            <w:tcW w:w="1872" w:type="dxa"/>
            <w:shd w:val="clear" w:color="auto" w:fill="auto"/>
            <w:vAlign w:val="center"/>
          </w:tcPr>
          <w:p w:rsidR="000B609E" w:rsidRDefault="00B220E1">
            <w:pPr>
              <w:spacing w:afterLines="0" w:after="0"/>
              <w:ind w:firstLine="400"/>
              <w:jc w:val="right"/>
              <w:rPr>
                <w:rFonts w:ascii="Arial Narrow" w:hAnsi="Arial Narrow" w:cs="宋体"/>
                <w:color w:val="000000"/>
                <w:sz w:val="20"/>
                <w:szCs w:val="20"/>
                <w:lang w:bidi="ar"/>
              </w:rPr>
            </w:pPr>
            <w:r>
              <w:rPr>
                <w:rFonts w:ascii="Arial Narrow" w:hAnsi="Arial Narrow" w:hint="eastAsia"/>
                <w:color w:val="000000"/>
                <w:sz w:val="20"/>
                <w:szCs w:val="20"/>
              </w:rPr>
              <w:t>-</w:t>
            </w:r>
          </w:p>
        </w:tc>
      </w:tr>
      <w:tr w:rsidR="000B609E">
        <w:trPr>
          <w:trHeight w:hRule="exact" w:val="454"/>
        </w:trPr>
        <w:tc>
          <w:tcPr>
            <w:tcW w:w="2502"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Total</w:t>
            </w:r>
          </w:p>
        </w:tc>
        <w:tc>
          <w:tcPr>
            <w:tcW w:w="1735" w:type="dxa"/>
            <w:shd w:val="clear" w:color="auto" w:fill="auto"/>
            <w:vAlign w:val="center"/>
          </w:tcPr>
          <w:p w:rsidR="000B609E" w:rsidRDefault="00DF783A">
            <w:pPr>
              <w:spacing w:afterLines="0" w:after="0"/>
              <w:ind w:firstLineChars="0" w:firstLine="0"/>
              <w:jc w:val="right"/>
              <w:rPr>
                <w:rFonts w:ascii="Arial Narrow" w:eastAsia="宋体" w:hAnsi="Arial Narrow" w:cs="Arial Narrow"/>
                <w:b/>
                <w:bCs/>
                <w:snapToGrid w:val="0"/>
                <w:kern w:val="0"/>
                <w:sz w:val="18"/>
                <w:szCs w:val="18"/>
              </w:rPr>
            </w:pPr>
            <w:r>
              <w:rPr>
                <w:rFonts w:ascii="Arial Narrow" w:eastAsia="宋体" w:hAnsi="Arial Narrow" w:cs="Arial Narrow" w:hint="eastAsia"/>
                <w:b/>
                <w:bCs/>
                <w:snapToGrid w:val="0"/>
                <w:kern w:val="0"/>
                <w:sz w:val="18"/>
                <w:szCs w:val="18"/>
              </w:rPr>
              <w:t>-</w:t>
            </w:r>
          </w:p>
        </w:tc>
        <w:tc>
          <w:tcPr>
            <w:tcW w:w="1923"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11,575,731.72</w:t>
            </w:r>
          </w:p>
        </w:tc>
        <w:tc>
          <w:tcPr>
            <w:tcW w:w="1764"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8,863,731.72</w:t>
            </w:r>
          </w:p>
        </w:tc>
        <w:tc>
          <w:tcPr>
            <w:tcW w:w="1872"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2,712,000.00</w:t>
            </w:r>
          </w:p>
        </w:tc>
      </w:tr>
    </w:tbl>
    <w:p w:rsidR="000B609E" w:rsidRDefault="00B220E1">
      <w:pPr>
        <w:spacing w:beforeLines="50" w:before="156" w:afterLines="0" w:after="0"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Bank:</w:t>
      </w:r>
    </w:p>
    <w:p w:rsidR="000B609E" w:rsidRDefault="00B220E1">
      <w:pPr>
        <w:pStyle w:val="11"/>
        <w:numPr>
          <w:ilvl w:val="0"/>
          <w:numId w:val="33"/>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Classification of employee benefits payable</w:t>
      </w:r>
    </w:p>
    <w:tbl>
      <w:tblPr>
        <w:tblW w:w="9782" w:type="dxa"/>
        <w:tblInd w:w="-598" w:type="dxa"/>
        <w:tblBorders>
          <w:top w:val="double" w:sz="6" w:space="0" w:color="auto"/>
          <w:bottom w:val="double" w:sz="6" w:space="0" w:color="auto"/>
          <w:insideH w:val="single" w:sz="8" w:space="0" w:color="auto"/>
          <w:insideV w:val="single" w:sz="8" w:space="0" w:color="auto"/>
        </w:tblBorders>
        <w:tblLayout w:type="fixed"/>
        <w:tblLook w:val="04A0" w:firstRow="1" w:lastRow="0" w:firstColumn="1" w:lastColumn="0" w:noHBand="0" w:noVBand="1"/>
      </w:tblPr>
      <w:tblGrid>
        <w:gridCol w:w="2118"/>
        <w:gridCol w:w="2096"/>
        <w:gridCol w:w="1884"/>
        <w:gridCol w:w="1776"/>
        <w:gridCol w:w="1908"/>
      </w:tblGrid>
      <w:tr w:rsidR="000B609E">
        <w:trPr>
          <w:trHeight w:val="267"/>
        </w:trPr>
        <w:tc>
          <w:tcPr>
            <w:tcW w:w="2118"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2096"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1884"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Addition</w:t>
            </w:r>
          </w:p>
        </w:tc>
        <w:tc>
          <w:tcPr>
            <w:tcW w:w="1776"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Payment</w:t>
            </w:r>
          </w:p>
        </w:tc>
        <w:tc>
          <w:tcPr>
            <w:tcW w:w="1908"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hRule="exact" w:val="907"/>
        </w:trPr>
        <w:tc>
          <w:tcPr>
            <w:tcW w:w="2118"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snapToGrid w:val="0"/>
                <w:color w:val="000000"/>
                <w:kern w:val="0"/>
                <w:sz w:val="18"/>
                <w:szCs w:val="18"/>
                <w:lang w:val="en-GB" w:eastAsia="en-US"/>
              </w:rPr>
              <w:t>Short-term employee benefits payable</w:t>
            </w:r>
          </w:p>
        </w:tc>
        <w:tc>
          <w:tcPr>
            <w:tcW w:w="209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93,778,535.82 </w:t>
            </w:r>
          </w:p>
        </w:tc>
        <w:tc>
          <w:tcPr>
            <w:tcW w:w="188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168,265,384.94</w:t>
            </w:r>
          </w:p>
        </w:tc>
        <w:tc>
          <w:tcPr>
            <w:tcW w:w="177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143,607,067.88</w:t>
            </w:r>
          </w:p>
        </w:tc>
        <w:tc>
          <w:tcPr>
            <w:tcW w:w="1908"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118,436,852.88</w:t>
            </w:r>
          </w:p>
        </w:tc>
      </w:tr>
      <w:tr w:rsidR="000B609E">
        <w:trPr>
          <w:trHeight w:hRule="exact" w:val="454"/>
        </w:trPr>
        <w:tc>
          <w:tcPr>
            <w:tcW w:w="2118" w:type="dxa"/>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color w:val="000000"/>
                <w:kern w:val="0"/>
                <w:sz w:val="18"/>
                <w:szCs w:val="18"/>
                <w:lang w:val="en-GB"/>
              </w:rPr>
            </w:pPr>
            <w:r>
              <w:rPr>
                <w:rFonts w:ascii="Times New Roman" w:eastAsia="宋体" w:hAnsi="Times New Roman" w:cs="Times New Roman"/>
                <w:snapToGrid w:val="0"/>
                <w:color w:val="000000"/>
                <w:kern w:val="0"/>
                <w:sz w:val="18"/>
                <w:szCs w:val="18"/>
                <w:lang w:val="en-GB"/>
              </w:rPr>
              <w:t>Retirement benefits</w:t>
            </w:r>
          </w:p>
        </w:tc>
        <w:tc>
          <w:tcPr>
            <w:tcW w:w="2096" w:type="dxa"/>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r w:rsidR="00B220E1">
              <w:rPr>
                <w:rFonts w:ascii="Arial Narrow" w:eastAsia="宋体" w:hAnsi="Arial Narrow" w:cs="Arial Narrow" w:hint="eastAsia"/>
                <w:snapToGrid w:val="0"/>
                <w:kern w:val="0"/>
                <w:sz w:val="20"/>
                <w:szCs w:val="20"/>
              </w:rPr>
              <w:t xml:space="preserve">   </w:t>
            </w:r>
          </w:p>
        </w:tc>
        <w:tc>
          <w:tcPr>
            <w:tcW w:w="188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11,537,095.74</w:t>
            </w:r>
          </w:p>
        </w:tc>
        <w:tc>
          <w:tcPr>
            <w:tcW w:w="177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8,825,095.74</w:t>
            </w:r>
          </w:p>
        </w:tc>
        <w:tc>
          <w:tcPr>
            <w:tcW w:w="1908"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2,712,000.00</w:t>
            </w:r>
          </w:p>
        </w:tc>
      </w:tr>
      <w:tr w:rsidR="000B609E">
        <w:trPr>
          <w:trHeight w:hRule="exact" w:val="454"/>
        </w:trPr>
        <w:tc>
          <w:tcPr>
            <w:tcW w:w="2118" w:type="dxa"/>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color w:val="000000"/>
                <w:kern w:val="0"/>
                <w:sz w:val="18"/>
                <w:szCs w:val="18"/>
                <w:lang w:val="en-GB"/>
              </w:rPr>
            </w:pPr>
            <w:r>
              <w:rPr>
                <w:rFonts w:ascii="Times New Roman" w:eastAsia="宋体" w:hAnsi="Times New Roman" w:cs="Times New Roman"/>
                <w:snapToGrid w:val="0"/>
                <w:color w:val="000000"/>
                <w:kern w:val="0"/>
                <w:sz w:val="18"/>
                <w:szCs w:val="18"/>
                <w:lang w:val="en-GB"/>
              </w:rPr>
              <w:t xml:space="preserve">Dismiss on welfare </w:t>
            </w:r>
          </w:p>
        </w:tc>
        <w:tc>
          <w:tcPr>
            <w:tcW w:w="209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2,967,239.36 </w:t>
            </w:r>
          </w:p>
        </w:tc>
        <w:tc>
          <w:tcPr>
            <w:tcW w:w="1884"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3,552,603.06</w:t>
            </w:r>
          </w:p>
        </w:tc>
        <w:tc>
          <w:tcPr>
            <w:tcW w:w="177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963,646.40</w:t>
            </w:r>
          </w:p>
        </w:tc>
        <w:tc>
          <w:tcPr>
            <w:tcW w:w="1908"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5,556,196.02</w:t>
            </w:r>
          </w:p>
        </w:tc>
      </w:tr>
      <w:tr w:rsidR="000B609E">
        <w:trPr>
          <w:trHeight w:hRule="exact" w:val="454"/>
        </w:trPr>
        <w:tc>
          <w:tcPr>
            <w:tcW w:w="2118"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snapToGrid w:val="0"/>
                <w:color w:val="000000"/>
                <w:kern w:val="0"/>
                <w:sz w:val="18"/>
                <w:szCs w:val="18"/>
                <w:lang w:val="en-GB"/>
              </w:rPr>
            </w:pPr>
            <w:r>
              <w:rPr>
                <w:rFonts w:ascii="Times New Roman" w:eastAsia="宋体" w:hAnsi="Times New Roman" w:cs="Times New Roman"/>
                <w:b/>
                <w:bCs/>
                <w:snapToGrid w:val="0"/>
                <w:color w:val="000000"/>
                <w:kern w:val="0"/>
                <w:sz w:val="18"/>
                <w:szCs w:val="18"/>
                <w:lang w:val="en-GB"/>
              </w:rPr>
              <w:t>Total</w:t>
            </w:r>
          </w:p>
        </w:tc>
        <w:tc>
          <w:tcPr>
            <w:tcW w:w="2096"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96,745,775.18 </w:t>
            </w:r>
          </w:p>
        </w:tc>
        <w:tc>
          <w:tcPr>
            <w:tcW w:w="1884"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color w:val="000000"/>
                <w:sz w:val="20"/>
                <w:szCs w:val="20"/>
              </w:rPr>
              <w:t>183,355,083.74</w:t>
            </w:r>
          </w:p>
        </w:tc>
        <w:tc>
          <w:tcPr>
            <w:tcW w:w="1776"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color w:val="000000"/>
                <w:sz w:val="20"/>
                <w:szCs w:val="20"/>
              </w:rPr>
              <w:t>153,395,810.02</w:t>
            </w:r>
          </w:p>
        </w:tc>
        <w:tc>
          <w:tcPr>
            <w:tcW w:w="1908"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color w:val="000000"/>
                <w:sz w:val="20"/>
                <w:szCs w:val="20"/>
              </w:rPr>
              <w:t>126,705,048.90</w:t>
            </w:r>
          </w:p>
        </w:tc>
      </w:tr>
    </w:tbl>
    <w:p w:rsidR="000B609E" w:rsidRDefault="00B220E1">
      <w:pPr>
        <w:pStyle w:val="11"/>
        <w:numPr>
          <w:ilvl w:val="0"/>
          <w:numId w:val="33"/>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hint="eastAsia"/>
          <w:sz w:val="24"/>
          <w:szCs w:val="24"/>
        </w:rPr>
        <w:t xml:space="preserve">hort-term </w:t>
      </w:r>
      <w:r>
        <w:rPr>
          <w:rFonts w:ascii="Times New Roman" w:hAnsi="Times New Roman" w:cs="Times New Roman"/>
          <w:sz w:val="24"/>
          <w:szCs w:val="24"/>
        </w:rPr>
        <w:t>employee benefits payable</w:t>
      </w:r>
    </w:p>
    <w:tbl>
      <w:tblPr>
        <w:tblW w:w="9774" w:type="dxa"/>
        <w:tblInd w:w="-585" w:type="dxa"/>
        <w:tblLayout w:type="fixed"/>
        <w:tblLook w:val="04A0" w:firstRow="1" w:lastRow="0" w:firstColumn="1" w:lastColumn="0" w:noHBand="0" w:noVBand="1"/>
      </w:tblPr>
      <w:tblGrid>
        <w:gridCol w:w="2480"/>
        <w:gridCol w:w="1726"/>
        <w:gridCol w:w="1896"/>
        <w:gridCol w:w="1906"/>
        <w:gridCol w:w="1766"/>
      </w:tblGrid>
      <w:tr w:rsidR="000B609E">
        <w:trPr>
          <w:trHeight w:val="300"/>
          <w:tblHeader/>
        </w:trPr>
        <w:tc>
          <w:tcPr>
            <w:tcW w:w="2480" w:type="dxa"/>
            <w:tcBorders>
              <w:top w:val="double" w:sz="6" w:space="0" w:color="auto"/>
              <w:left w:val="nil"/>
              <w:bottom w:val="single" w:sz="8" w:space="0" w:color="auto"/>
              <w:right w:val="single" w:sz="8"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1726" w:type="dxa"/>
            <w:tcBorders>
              <w:top w:val="double" w:sz="6" w:space="0" w:color="auto"/>
              <w:left w:val="nil"/>
              <w:bottom w:val="single" w:sz="8" w:space="0" w:color="auto"/>
              <w:right w:val="single" w:sz="8"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1896" w:type="dxa"/>
            <w:tcBorders>
              <w:top w:val="double" w:sz="6" w:space="0" w:color="auto"/>
              <w:left w:val="nil"/>
              <w:bottom w:val="single" w:sz="8" w:space="0" w:color="auto"/>
              <w:right w:val="single" w:sz="8"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Addition</w:t>
            </w:r>
          </w:p>
        </w:tc>
        <w:tc>
          <w:tcPr>
            <w:tcW w:w="1906" w:type="dxa"/>
            <w:tcBorders>
              <w:top w:val="double" w:sz="6" w:space="0" w:color="auto"/>
              <w:left w:val="nil"/>
              <w:bottom w:val="single" w:sz="8" w:space="0" w:color="auto"/>
              <w:right w:val="single" w:sz="8"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Payment</w:t>
            </w:r>
          </w:p>
        </w:tc>
        <w:tc>
          <w:tcPr>
            <w:tcW w:w="1766" w:type="dxa"/>
            <w:tcBorders>
              <w:top w:val="double" w:sz="6" w:space="0" w:color="auto"/>
              <w:left w:val="nil"/>
              <w:bottom w:val="single" w:sz="8" w:space="0" w:color="auto"/>
              <w:right w:val="nil"/>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hRule="exact" w:val="907"/>
        </w:trPr>
        <w:tc>
          <w:tcPr>
            <w:tcW w:w="2480"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Wages and salaries, bonus, allowances and subsidies</w:t>
            </w:r>
          </w:p>
        </w:tc>
        <w:tc>
          <w:tcPr>
            <w:tcW w:w="172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88,624,520.77 </w:t>
            </w:r>
          </w:p>
        </w:tc>
        <w:tc>
          <w:tcPr>
            <w:tcW w:w="189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120,436,353.88</w:t>
            </w:r>
          </w:p>
        </w:tc>
        <w:tc>
          <w:tcPr>
            <w:tcW w:w="190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96,694,021.77</w:t>
            </w:r>
          </w:p>
        </w:tc>
        <w:tc>
          <w:tcPr>
            <w:tcW w:w="1766"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112,366,852.88</w:t>
            </w:r>
          </w:p>
        </w:tc>
      </w:tr>
      <w:tr w:rsidR="000B609E">
        <w:trPr>
          <w:trHeight w:hRule="exact" w:val="454"/>
        </w:trPr>
        <w:tc>
          <w:tcPr>
            <w:tcW w:w="2480"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Staff welfare</w:t>
            </w:r>
          </w:p>
        </w:tc>
        <w:tc>
          <w:tcPr>
            <w:tcW w:w="1726" w:type="dxa"/>
            <w:tcBorders>
              <w:top w:val="nil"/>
              <w:left w:val="nil"/>
              <w:bottom w:val="single" w:sz="8" w:space="0" w:color="auto"/>
              <w:right w:val="single" w:sz="8"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r w:rsidR="00B220E1">
              <w:rPr>
                <w:rFonts w:ascii="Arial Narrow" w:eastAsia="宋体" w:hAnsi="Arial Narrow" w:cs="Arial Narrow" w:hint="eastAsia"/>
                <w:snapToGrid w:val="0"/>
                <w:kern w:val="0"/>
                <w:sz w:val="20"/>
                <w:szCs w:val="20"/>
              </w:rPr>
              <w:t xml:space="preserve">   </w:t>
            </w:r>
          </w:p>
        </w:tc>
        <w:tc>
          <w:tcPr>
            <w:tcW w:w="189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18,585,780.20</w:t>
            </w:r>
          </w:p>
        </w:tc>
        <w:tc>
          <w:tcPr>
            <w:tcW w:w="190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18,585,780.20</w:t>
            </w:r>
          </w:p>
        </w:tc>
        <w:tc>
          <w:tcPr>
            <w:tcW w:w="1766"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p>
        </w:tc>
      </w:tr>
      <w:tr w:rsidR="000B609E">
        <w:trPr>
          <w:trHeight w:hRule="exact" w:val="454"/>
        </w:trPr>
        <w:tc>
          <w:tcPr>
            <w:tcW w:w="2480"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Employee education funds</w:t>
            </w:r>
          </w:p>
        </w:tc>
        <w:tc>
          <w:tcPr>
            <w:tcW w:w="172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87,515.05 </w:t>
            </w:r>
          </w:p>
        </w:tc>
        <w:tc>
          <w:tcPr>
            <w:tcW w:w="189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630,867.49</w:t>
            </w:r>
          </w:p>
        </w:tc>
        <w:tc>
          <w:tcPr>
            <w:tcW w:w="190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718,382.54</w:t>
            </w:r>
          </w:p>
        </w:tc>
        <w:tc>
          <w:tcPr>
            <w:tcW w:w="1766"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p>
        </w:tc>
      </w:tr>
      <w:tr w:rsidR="000B609E">
        <w:trPr>
          <w:trHeight w:hRule="exact" w:val="454"/>
        </w:trPr>
        <w:tc>
          <w:tcPr>
            <w:tcW w:w="2480"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proofErr w:type="spellStart"/>
            <w:r>
              <w:rPr>
                <w:rFonts w:ascii="Times New Roman" w:eastAsia="宋体" w:hAnsi="Times New Roman" w:cs="Times New Roman"/>
                <w:color w:val="000000"/>
                <w:kern w:val="0"/>
                <w:sz w:val="18"/>
                <w:szCs w:val="18"/>
              </w:rPr>
              <w:t>Labour</w:t>
            </w:r>
            <w:proofErr w:type="spellEnd"/>
            <w:r>
              <w:rPr>
                <w:rFonts w:ascii="Times New Roman" w:eastAsia="宋体" w:hAnsi="Times New Roman" w:cs="Times New Roman"/>
                <w:color w:val="000000"/>
                <w:kern w:val="0"/>
                <w:sz w:val="18"/>
                <w:szCs w:val="18"/>
              </w:rPr>
              <w:t xml:space="preserve"> union funds</w:t>
            </w:r>
          </w:p>
        </w:tc>
        <w:tc>
          <w:tcPr>
            <w:tcW w:w="1726" w:type="dxa"/>
            <w:tcBorders>
              <w:top w:val="nil"/>
              <w:left w:val="nil"/>
              <w:bottom w:val="single" w:sz="8" w:space="0" w:color="auto"/>
              <w:right w:val="single" w:sz="8"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r w:rsidR="00B220E1">
              <w:rPr>
                <w:rFonts w:ascii="Arial Narrow" w:eastAsia="宋体" w:hAnsi="Arial Narrow" w:cs="Arial Narrow" w:hint="eastAsia"/>
                <w:snapToGrid w:val="0"/>
                <w:kern w:val="0"/>
                <w:sz w:val="20"/>
                <w:szCs w:val="20"/>
              </w:rPr>
              <w:t xml:space="preserve">  </w:t>
            </w:r>
          </w:p>
        </w:tc>
        <w:tc>
          <w:tcPr>
            <w:tcW w:w="189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2,420,000.00</w:t>
            </w:r>
          </w:p>
        </w:tc>
        <w:tc>
          <w:tcPr>
            <w:tcW w:w="190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2,420,000.00</w:t>
            </w:r>
          </w:p>
        </w:tc>
        <w:tc>
          <w:tcPr>
            <w:tcW w:w="1766"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p>
        </w:tc>
      </w:tr>
      <w:tr w:rsidR="000B609E">
        <w:trPr>
          <w:trHeight w:hRule="exact" w:val="454"/>
        </w:trPr>
        <w:tc>
          <w:tcPr>
            <w:tcW w:w="2480"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Medical insurance</w:t>
            </w:r>
          </w:p>
        </w:tc>
        <w:tc>
          <w:tcPr>
            <w:tcW w:w="172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5,066,500.00 </w:t>
            </w:r>
          </w:p>
        </w:tc>
        <w:tc>
          <w:tcPr>
            <w:tcW w:w="189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13,599,740.11</w:t>
            </w:r>
          </w:p>
        </w:tc>
        <w:tc>
          <w:tcPr>
            <w:tcW w:w="190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12,596,240.11</w:t>
            </w:r>
          </w:p>
        </w:tc>
        <w:tc>
          <w:tcPr>
            <w:tcW w:w="1766"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6,070,000.00</w:t>
            </w:r>
          </w:p>
        </w:tc>
      </w:tr>
      <w:tr w:rsidR="000B609E">
        <w:trPr>
          <w:trHeight w:hRule="exact" w:val="907"/>
        </w:trPr>
        <w:tc>
          <w:tcPr>
            <w:tcW w:w="2480"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Employment injury insurance &amp; maternity insurance</w:t>
            </w:r>
          </w:p>
        </w:tc>
        <w:tc>
          <w:tcPr>
            <w:tcW w:w="1726" w:type="dxa"/>
            <w:tcBorders>
              <w:top w:val="nil"/>
              <w:left w:val="nil"/>
              <w:bottom w:val="single" w:sz="8" w:space="0" w:color="auto"/>
              <w:right w:val="single" w:sz="8"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89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48,075.26</w:t>
            </w:r>
          </w:p>
        </w:tc>
        <w:tc>
          <w:tcPr>
            <w:tcW w:w="190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48,075.26</w:t>
            </w:r>
          </w:p>
        </w:tc>
        <w:tc>
          <w:tcPr>
            <w:tcW w:w="1766"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p>
        </w:tc>
      </w:tr>
      <w:tr w:rsidR="000B609E">
        <w:trPr>
          <w:trHeight w:hRule="exact" w:val="454"/>
        </w:trPr>
        <w:tc>
          <w:tcPr>
            <w:tcW w:w="2480"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Housing funds</w:t>
            </w:r>
          </w:p>
        </w:tc>
        <w:tc>
          <w:tcPr>
            <w:tcW w:w="1726" w:type="dxa"/>
            <w:tcBorders>
              <w:top w:val="nil"/>
              <w:left w:val="nil"/>
              <w:bottom w:val="single" w:sz="8" w:space="0" w:color="auto"/>
              <w:right w:val="single" w:sz="8"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89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12,544,568.00</w:t>
            </w:r>
          </w:p>
        </w:tc>
        <w:tc>
          <w:tcPr>
            <w:tcW w:w="1906" w:type="dxa"/>
            <w:tcBorders>
              <w:top w:val="nil"/>
              <w:left w:val="nil"/>
              <w:bottom w:val="single" w:sz="8"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12,544,568.00</w:t>
            </w:r>
          </w:p>
        </w:tc>
        <w:tc>
          <w:tcPr>
            <w:tcW w:w="1766" w:type="dxa"/>
            <w:tcBorders>
              <w:top w:val="nil"/>
              <w:left w:val="nil"/>
              <w:bottom w:val="single" w:sz="8"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p>
        </w:tc>
      </w:tr>
      <w:tr w:rsidR="000B609E">
        <w:trPr>
          <w:trHeight w:hRule="exact" w:val="454"/>
        </w:trPr>
        <w:tc>
          <w:tcPr>
            <w:tcW w:w="2480" w:type="dxa"/>
            <w:tcBorders>
              <w:top w:val="nil"/>
              <w:left w:val="nil"/>
              <w:bottom w:val="double" w:sz="4" w:space="0" w:color="auto"/>
              <w:right w:val="single" w:sz="8"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Total</w:t>
            </w:r>
          </w:p>
        </w:tc>
        <w:tc>
          <w:tcPr>
            <w:tcW w:w="1726" w:type="dxa"/>
            <w:tcBorders>
              <w:top w:val="nil"/>
              <w:left w:val="nil"/>
              <w:bottom w:val="double" w:sz="4"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93,778,535.82</w:t>
            </w:r>
          </w:p>
        </w:tc>
        <w:tc>
          <w:tcPr>
            <w:tcW w:w="1896" w:type="dxa"/>
            <w:tcBorders>
              <w:top w:val="nil"/>
              <w:left w:val="nil"/>
              <w:bottom w:val="double" w:sz="4"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sz w:val="20"/>
                <w:szCs w:val="20"/>
              </w:rPr>
              <w:t>168,265,384.94</w:t>
            </w:r>
          </w:p>
        </w:tc>
        <w:tc>
          <w:tcPr>
            <w:tcW w:w="1906" w:type="dxa"/>
            <w:tcBorders>
              <w:top w:val="nil"/>
              <w:left w:val="nil"/>
              <w:bottom w:val="double" w:sz="4" w:space="0" w:color="auto"/>
              <w:right w:val="single" w:sz="8"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sz w:val="20"/>
                <w:szCs w:val="20"/>
              </w:rPr>
              <w:t>143,607,067.88</w:t>
            </w:r>
          </w:p>
        </w:tc>
        <w:tc>
          <w:tcPr>
            <w:tcW w:w="1766"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sz w:val="20"/>
                <w:szCs w:val="20"/>
              </w:rPr>
              <w:t>118,436,852.88</w:t>
            </w:r>
          </w:p>
        </w:tc>
      </w:tr>
    </w:tbl>
    <w:p w:rsidR="000B609E" w:rsidRDefault="00B220E1">
      <w:pPr>
        <w:pStyle w:val="11"/>
        <w:numPr>
          <w:ilvl w:val="0"/>
          <w:numId w:val="33"/>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lastRenderedPageBreak/>
        <w:t>Retirement benefits</w:t>
      </w:r>
    </w:p>
    <w:tbl>
      <w:tblPr>
        <w:tblW w:w="9795" w:type="dxa"/>
        <w:tblInd w:w="-612" w:type="dxa"/>
        <w:tblBorders>
          <w:top w:val="double" w:sz="6" w:space="0" w:color="auto"/>
          <w:bottom w:val="double" w:sz="6" w:space="0" w:color="auto"/>
          <w:insideH w:val="single" w:sz="8" w:space="0" w:color="auto"/>
          <w:insideV w:val="single" w:sz="8" w:space="0" w:color="auto"/>
        </w:tblBorders>
        <w:tblLayout w:type="fixed"/>
        <w:tblLook w:val="04A0" w:firstRow="1" w:lastRow="0" w:firstColumn="1" w:lastColumn="0" w:noHBand="0" w:noVBand="1"/>
      </w:tblPr>
      <w:tblGrid>
        <w:gridCol w:w="2487"/>
        <w:gridCol w:w="1807"/>
        <w:gridCol w:w="1853"/>
        <w:gridCol w:w="1872"/>
        <w:gridCol w:w="1776"/>
      </w:tblGrid>
      <w:tr w:rsidR="000B609E">
        <w:trPr>
          <w:trHeight w:val="300"/>
          <w:tblHeader/>
        </w:trPr>
        <w:tc>
          <w:tcPr>
            <w:tcW w:w="2487"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1807"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201</w:t>
            </w:r>
            <w:r>
              <w:rPr>
                <w:rFonts w:ascii="Times New Roman" w:eastAsia="宋体" w:hAnsi="Times New Roman" w:cs="Times New Roman" w:hint="eastAsia"/>
                <w:b/>
                <w:bCs/>
                <w:color w:val="000000"/>
                <w:kern w:val="0"/>
                <w:sz w:val="18"/>
                <w:szCs w:val="18"/>
              </w:rPr>
              <w:t>9</w:t>
            </w:r>
            <w:r>
              <w:rPr>
                <w:rFonts w:ascii="Times New Roman" w:eastAsia="宋体" w:hAnsi="Times New Roman" w:cs="Times New Roman"/>
                <w:b/>
                <w:bCs/>
                <w:color w:val="000000"/>
                <w:kern w:val="0"/>
                <w:sz w:val="18"/>
                <w:szCs w:val="18"/>
              </w:rPr>
              <w:t>-12-31</w:t>
            </w:r>
          </w:p>
        </w:tc>
        <w:tc>
          <w:tcPr>
            <w:tcW w:w="1853"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Addition</w:t>
            </w:r>
          </w:p>
        </w:tc>
        <w:tc>
          <w:tcPr>
            <w:tcW w:w="1872"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Payment</w:t>
            </w:r>
          </w:p>
        </w:tc>
        <w:tc>
          <w:tcPr>
            <w:tcW w:w="1776"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hRule="exact" w:val="454"/>
        </w:trPr>
        <w:tc>
          <w:tcPr>
            <w:tcW w:w="2487"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Basic Endowment insurance</w:t>
            </w:r>
          </w:p>
        </w:tc>
        <w:tc>
          <w:tcPr>
            <w:tcW w:w="1807" w:type="dxa"/>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853"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1,295,485.60</w:t>
            </w:r>
          </w:p>
        </w:tc>
        <w:tc>
          <w:tcPr>
            <w:tcW w:w="187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1,295,485.60</w:t>
            </w:r>
          </w:p>
        </w:tc>
        <w:tc>
          <w:tcPr>
            <w:tcW w:w="177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w:t>
            </w:r>
          </w:p>
        </w:tc>
      </w:tr>
      <w:tr w:rsidR="000B609E">
        <w:trPr>
          <w:trHeight w:hRule="exact" w:val="454"/>
        </w:trPr>
        <w:tc>
          <w:tcPr>
            <w:tcW w:w="2487"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Corporation pension plan</w:t>
            </w:r>
          </w:p>
        </w:tc>
        <w:tc>
          <w:tcPr>
            <w:tcW w:w="1807" w:type="dxa"/>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853"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9,712,000.00</w:t>
            </w:r>
          </w:p>
        </w:tc>
        <w:tc>
          <w:tcPr>
            <w:tcW w:w="187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7,000,000.00</w:t>
            </w:r>
          </w:p>
        </w:tc>
        <w:tc>
          <w:tcPr>
            <w:tcW w:w="177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2,712,000.00</w:t>
            </w:r>
          </w:p>
        </w:tc>
      </w:tr>
      <w:tr w:rsidR="000B609E">
        <w:trPr>
          <w:trHeight w:hRule="exact" w:val="454"/>
        </w:trPr>
        <w:tc>
          <w:tcPr>
            <w:tcW w:w="2487" w:type="dxa"/>
            <w:shd w:val="clear" w:color="auto" w:fill="auto"/>
            <w:vAlign w:val="center"/>
          </w:tcPr>
          <w:p w:rsidR="000B609E" w:rsidRDefault="00B220E1">
            <w:pPr>
              <w:spacing w:afterLines="0" w:after="0"/>
              <w:ind w:firstLineChars="0" w:firstLine="0"/>
              <w:rPr>
                <w:rFonts w:ascii="Times New Roman" w:eastAsia="宋体" w:hAnsi="Times New Roman" w:cs="Times New Roman"/>
                <w:b/>
                <w:bCs/>
                <w:color w:val="000000"/>
                <w:kern w:val="0"/>
                <w:sz w:val="18"/>
                <w:szCs w:val="18"/>
              </w:rPr>
            </w:pPr>
            <w:r>
              <w:rPr>
                <w:rFonts w:ascii="Times New Roman" w:eastAsia="宋体" w:hAnsi="Times New Roman" w:cs="Times New Roman"/>
                <w:bCs/>
                <w:color w:val="000000"/>
                <w:kern w:val="0"/>
                <w:sz w:val="18"/>
                <w:szCs w:val="18"/>
              </w:rPr>
              <w:t>Unemployment insurance</w:t>
            </w:r>
          </w:p>
        </w:tc>
        <w:tc>
          <w:tcPr>
            <w:tcW w:w="1807" w:type="dxa"/>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853"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529,610.14</w:t>
            </w:r>
          </w:p>
        </w:tc>
        <w:tc>
          <w:tcPr>
            <w:tcW w:w="187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529,610.14</w:t>
            </w:r>
          </w:p>
        </w:tc>
        <w:tc>
          <w:tcPr>
            <w:tcW w:w="177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w:t>
            </w:r>
          </w:p>
        </w:tc>
      </w:tr>
      <w:tr w:rsidR="000B609E">
        <w:trPr>
          <w:trHeight w:hRule="exact" w:val="454"/>
        </w:trPr>
        <w:tc>
          <w:tcPr>
            <w:tcW w:w="2487"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Total</w:t>
            </w:r>
          </w:p>
        </w:tc>
        <w:tc>
          <w:tcPr>
            <w:tcW w:w="1807" w:type="dxa"/>
            <w:shd w:val="clear" w:color="auto" w:fill="auto"/>
            <w:vAlign w:val="center"/>
          </w:tcPr>
          <w:p w:rsidR="000B609E" w:rsidRDefault="00DF783A">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w:t>
            </w:r>
          </w:p>
        </w:tc>
        <w:tc>
          <w:tcPr>
            <w:tcW w:w="1853"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11,537,095.74</w:t>
            </w:r>
          </w:p>
        </w:tc>
        <w:tc>
          <w:tcPr>
            <w:tcW w:w="1872"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8,825,095.74</w:t>
            </w:r>
          </w:p>
        </w:tc>
        <w:tc>
          <w:tcPr>
            <w:tcW w:w="1776"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2,712,000.00</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Taxes payable</w:t>
      </w:r>
    </w:p>
    <w:tbl>
      <w:tblPr>
        <w:tblW w:w="9772" w:type="dxa"/>
        <w:tblInd w:w="-611" w:type="dxa"/>
        <w:tblLayout w:type="fixed"/>
        <w:tblLook w:val="04A0" w:firstRow="1" w:lastRow="0" w:firstColumn="1" w:lastColumn="0" w:noHBand="0" w:noVBand="1"/>
      </w:tblPr>
      <w:tblGrid>
        <w:gridCol w:w="2451"/>
        <w:gridCol w:w="1844"/>
        <w:gridCol w:w="1701"/>
        <w:gridCol w:w="1832"/>
        <w:gridCol w:w="1944"/>
      </w:tblGrid>
      <w:tr w:rsidR="000B609E">
        <w:trPr>
          <w:trHeight w:val="270"/>
          <w:tblHeader/>
        </w:trPr>
        <w:tc>
          <w:tcPr>
            <w:tcW w:w="2451" w:type="dxa"/>
            <w:vMerge w:val="restart"/>
            <w:tcBorders>
              <w:top w:val="doub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545"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776"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00"/>
          <w:tblHeader/>
        </w:trPr>
        <w:tc>
          <w:tcPr>
            <w:tcW w:w="2451" w:type="dxa"/>
            <w:vMerge/>
            <w:tcBorders>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84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70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83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944"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BC6E59" w:rsidTr="00DF783A">
        <w:trPr>
          <w:trHeight w:hRule="exact" w:val="681"/>
        </w:trPr>
        <w:tc>
          <w:tcPr>
            <w:tcW w:w="2451" w:type="dxa"/>
            <w:tcBorders>
              <w:top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City maintenance and construction tax</w:t>
            </w:r>
          </w:p>
        </w:tc>
        <w:tc>
          <w:tcPr>
            <w:tcW w:w="1844" w:type="dxa"/>
            <w:tcBorders>
              <w:top w:val="nil"/>
              <w:left w:val="nil"/>
              <w:bottom w:val="single" w:sz="4" w:space="0" w:color="auto"/>
              <w:right w:val="single" w:sz="4" w:space="0" w:color="auto"/>
            </w:tcBorders>
            <w:shd w:val="clear" w:color="auto" w:fill="auto"/>
            <w:vAlign w:val="center"/>
          </w:tcPr>
          <w:p w:rsidR="00BC6E59" w:rsidRP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sidRPr="00BC6E59">
              <w:rPr>
                <w:rFonts w:ascii="Arial Narrow" w:eastAsia="宋体" w:hAnsi="Arial Narrow" w:cs="Arial Narrow"/>
                <w:snapToGrid w:val="0"/>
                <w:kern w:val="0"/>
                <w:sz w:val="20"/>
                <w:szCs w:val="20"/>
              </w:rPr>
              <w:t>431,737.55</w:t>
            </w:r>
          </w:p>
        </w:tc>
        <w:tc>
          <w:tcPr>
            <w:tcW w:w="1701"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401,084.15 </w:t>
            </w:r>
          </w:p>
        </w:tc>
        <w:tc>
          <w:tcPr>
            <w:tcW w:w="1832"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420,000.00</w:t>
            </w:r>
          </w:p>
        </w:tc>
        <w:tc>
          <w:tcPr>
            <w:tcW w:w="1944" w:type="dxa"/>
            <w:tcBorders>
              <w:top w:val="nil"/>
              <w:left w:val="nil"/>
              <w:bottom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389,200.00 </w:t>
            </w:r>
          </w:p>
        </w:tc>
      </w:tr>
      <w:tr w:rsidR="00BC6E59" w:rsidTr="00BC6E59">
        <w:trPr>
          <w:trHeight w:hRule="exact" w:val="454"/>
        </w:trPr>
        <w:tc>
          <w:tcPr>
            <w:tcW w:w="2451" w:type="dxa"/>
            <w:tcBorders>
              <w:top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Educational surcharge</w:t>
            </w:r>
          </w:p>
        </w:tc>
        <w:tc>
          <w:tcPr>
            <w:tcW w:w="1844" w:type="dxa"/>
            <w:tcBorders>
              <w:top w:val="nil"/>
              <w:left w:val="nil"/>
              <w:bottom w:val="single" w:sz="4" w:space="0" w:color="auto"/>
              <w:right w:val="single" w:sz="4" w:space="0" w:color="auto"/>
            </w:tcBorders>
            <w:shd w:val="clear" w:color="auto" w:fill="auto"/>
            <w:vAlign w:val="center"/>
          </w:tcPr>
          <w:p w:rsidR="00BC6E59" w:rsidRP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sidRPr="00BC6E59">
              <w:rPr>
                <w:rFonts w:ascii="Arial Narrow" w:eastAsia="宋体" w:hAnsi="Arial Narrow" w:cs="Arial Narrow"/>
                <w:snapToGrid w:val="0"/>
                <w:kern w:val="0"/>
                <w:sz w:val="20"/>
                <w:szCs w:val="20"/>
              </w:rPr>
              <w:t>304,056.24</w:t>
            </w:r>
          </w:p>
        </w:tc>
        <w:tc>
          <w:tcPr>
            <w:tcW w:w="1701"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281,274.68 </w:t>
            </w:r>
          </w:p>
        </w:tc>
        <w:tc>
          <w:tcPr>
            <w:tcW w:w="1832"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300,000.00</w:t>
            </w:r>
          </w:p>
        </w:tc>
        <w:tc>
          <w:tcPr>
            <w:tcW w:w="1944" w:type="dxa"/>
            <w:tcBorders>
              <w:top w:val="nil"/>
              <w:left w:val="nil"/>
              <w:bottom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278,000.00 </w:t>
            </w:r>
          </w:p>
        </w:tc>
      </w:tr>
      <w:tr w:rsidR="00BC6E59" w:rsidTr="00BC6E59">
        <w:trPr>
          <w:trHeight w:hRule="exact" w:val="454"/>
        </w:trPr>
        <w:tc>
          <w:tcPr>
            <w:tcW w:w="2451" w:type="dxa"/>
            <w:tcBorders>
              <w:top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Building tax</w:t>
            </w:r>
          </w:p>
        </w:tc>
        <w:tc>
          <w:tcPr>
            <w:tcW w:w="1844" w:type="dxa"/>
            <w:tcBorders>
              <w:top w:val="nil"/>
              <w:left w:val="nil"/>
              <w:bottom w:val="single" w:sz="4" w:space="0" w:color="auto"/>
              <w:right w:val="single" w:sz="4" w:space="0" w:color="auto"/>
            </w:tcBorders>
            <w:shd w:val="clear" w:color="auto" w:fill="auto"/>
            <w:vAlign w:val="center"/>
          </w:tcPr>
          <w:p w:rsidR="00BC6E59" w:rsidRP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sidRPr="00BC6E59">
              <w:rPr>
                <w:rFonts w:ascii="Arial Narrow" w:eastAsia="宋体" w:hAnsi="Arial Narrow" w:cs="Arial Narrow"/>
                <w:snapToGrid w:val="0"/>
                <w:kern w:val="0"/>
                <w:sz w:val="20"/>
                <w:szCs w:val="20"/>
              </w:rPr>
              <w:t>1,365,332.06</w:t>
            </w:r>
          </w:p>
        </w:tc>
        <w:tc>
          <w:tcPr>
            <w:tcW w:w="1701"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1,299,017.19 </w:t>
            </w:r>
          </w:p>
        </w:tc>
        <w:tc>
          <w:tcPr>
            <w:tcW w:w="1832"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1,320,605.75</w:t>
            </w:r>
          </w:p>
        </w:tc>
        <w:tc>
          <w:tcPr>
            <w:tcW w:w="1944" w:type="dxa"/>
            <w:tcBorders>
              <w:top w:val="nil"/>
              <w:left w:val="nil"/>
              <w:bottom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1,254,712.06 </w:t>
            </w:r>
          </w:p>
        </w:tc>
      </w:tr>
      <w:tr w:rsidR="00BC6E59" w:rsidTr="00BC6E59">
        <w:trPr>
          <w:trHeight w:hRule="exact" w:val="454"/>
        </w:trPr>
        <w:tc>
          <w:tcPr>
            <w:tcW w:w="2451" w:type="dxa"/>
            <w:tcBorders>
              <w:top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Income tax</w:t>
            </w:r>
          </w:p>
        </w:tc>
        <w:tc>
          <w:tcPr>
            <w:tcW w:w="1844" w:type="dxa"/>
            <w:tcBorders>
              <w:top w:val="nil"/>
              <w:left w:val="nil"/>
              <w:bottom w:val="single" w:sz="4" w:space="0" w:color="auto"/>
              <w:right w:val="single" w:sz="4" w:space="0" w:color="auto"/>
            </w:tcBorders>
            <w:shd w:val="clear" w:color="auto" w:fill="auto"/>
            <w:vAlign w:val="center"/>
          </w:tcPr>
          <w:p w:rsidR="00BC6E59" w:rsidRP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sidRPr="00BC6E59">
              <w:rPr>
                <w:rFonts w:ascii="Arial Narrow" w:eastAsia="宋体" w:hAnsi="Arial Narrow" w:cs="Arial Narrow"/>
                <w:snapToGrid w:val="0"/>
                <w:kern w:val="0"/>
                <w:sz w:val="20"/>
                <w:szCs w:val="20"/>
              </w:rPr>
              <w:t>21,218,346.25</w:t>
            </w:r>
          </w:p>
        </w:tc>
        <w:tc>
          <w:tcPr>
            <w:tcW w:w="1701"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4,240,725.49 </w:t>
            </w:r>
          </w:p>
        </w:tc>
        <w:tc>
          <w:tcPr>
            <w:tcW w:w="1832"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18,536,513.78</w:t>
            </w:r>
          </w:p>
        </w:tc>
        <w:tc>
          <w:tcPr>
            <w:tcW w:w="1944" w:type="dxa"/>
            <w:tcBorders>
              <w:top w:val="nil"/>
              <w:left w:val="nil"/>
              <w:bottom w:val="single" w:sz="4" w:space="0" w:color="auto"/>
            </w:tcBorders>
            <w:shd w:val="clear" w:color="auto" w:fill="auto"/>
            <w:vAlign w:val="center"/>
          </w:tcPr>
          <w:p w:rsidR="00BC6E59" w:rsidRDefault="00DF783A"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r w:rsidR="00BC6E59">
              <w:rPr>
                <w:rFonts w:ascii="Arial Narrow" w:eastAsia="宋体" w:hAnsi="Arial Narrow" w:cs="Arial Narrow" w:hint="eastAsia"/>
                <w:snapToGrid w:val="0"/>
                <w:kern w:val="0"/>
                <w:sz w:val="20"/>
                <w:szCs w:val="20"/>
              </w:rPr>
              <w:t xml:space="preserve">  </w:t>
            </w:r>
          </w:p>
        </w:tc>
      </w:tr>
      <w:tr w:rsidR="00BC6E59" w:rsidTr="00BC6E59">
        <w:trPr>
          <w:trHeight w:hRule="exact" w:val="454"/>
        </w:trPr>
        <w:tc>
          <w:tcPr>
            <w:tcW w:w="2451" w:type="dxa"/>
            <w:tcBorders>
              <w:top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Land use tax</w:t>
            </w:r>
          </w:p>
        </w:tc>
        <w:tc>
          <w:tcPr>
            <w:tcW w:w="1844" w:type="dxa"/>
            <w:tcBorders>
              <w:top w:val="nil"/>
              <w:left w:val="nil"/>
              <w:bottom w:val="single" w:sz="4" w:space="0" w:color="auto"/>
              <w:right w:val="single" w:sz="4" w:space="0" w:color="auto"/>
            </w:tcBorders>
            <w:shd w:val="clear" w:color="auto" w:fill="auto"/>
            <w:vAlign w:val="center"/>
          </w:tcPr>
          <w:p w:rsidR="00BC6E59" w:rsidRP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sidRPr="00BC6E59">
              <w:rPr>
                <w:rFonts w:ascii="Arial Narrow" w:eastAsia="宋体" w:hAnsi="Arial Narrow" w:cs="Arial Narrow"/>
                <w:snapToGrid w:val="0"/>
                <w:kern w:val="0"/>
                <w:sz w:val="20"/>
                <w:szCs w:val="20"/>
              </w:rPr>
              <w:t>61,394.86</w:t>
            </w:r>
          </w:p>
        </w:tc>
        <w:tc>
          <w:tcPr>
            <w:tcW w:w="1701"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61,513.40 </w:t>
            </w:r>
          </w:p>
        </w:tc>
        <w:tc>
          <w:tcPr>
            <w:tcW w:w="1832"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59,587.24</w:t>
            </w:r>
          </w:p>
        </w:tc>
        <w:tc>
          <w:tcPr>
            <w:tcW w:w="1944" w:type="dxa"/>
            <w:tcBorders>
              <w:top w:val="nil"/>
              <w:left w:val="nil"/>
              <w:bottom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59,705.78 </w:t>
            </w:r>
          </w:p>
        </w:tc>
      </w:tr>
      <w:tr w:rsidR="00BC6E59" w:rsidTr="00BC6E59">
        <w:trPr>
          <w:trHeight w:hRule="exact" w:val="454"/>
        </w:trPr>
        <w:tc>
          <w:tcPr>
            <w:tcW w:w="2451" w:type="dxa"/>
            <w:tcBorders>
              <w:top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Value added tax</w:t>
            </w:r>
          </w:p>
        </w:tc>
        <w:tc>
          <w:tcPr>
            <w:tcW w:w="1844" w:type="dxa"/>
            <w:tcBorders>
              <w:top w:val="nil"/>
              <w:left w:val="nil"/>
              <w:bottom w:val="single" w:sz="4" w:space="0" w:color="auto"/>
              <w:right w:val="single" w:sz="4" w:space="0" w:color="auto"/>
            </w:tcBorders>
            <w:shd w:val="clear" w:color="auto" w:fill="auto"/>
            <w:vAlign w:val="center"/>
          </w:tcPr>
          <w:p w:rsidR="00BC6E59" w:rsidRP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sidRPr="00BC6E59">
              <w:rPr>
                <w:rFonts w:ascii="Arial Narrow" w:eastAsia="宋体" w:hAnsi="Arial Narrow" w:cs="Arial Narrow"/>
                <w:snapToGrid w:val="0"/>
                <w:kern w:val="0"/>
                <w:sz w:val="20"/>
                <w:szCs w:val="20"/>
              </w:rPr>
              <w:t>6,194,296.30</w:t>
            </w:r>
          </w:p>
        </w:tc>
        <w:tc>
          <w:tcPr>
            <w:tcW w:w="1701"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5,759,486.30 </w:t>
            </w:r>
          </w:p>
        </w:tc>
        <w:tc>
          <w:tcPr>
            <w:tcW w:w="1832"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6,037,998.46</w:t>
            </w:r>
          </w:p>
        </w:tc>
        <w:tc>
          <w:tcPr>
            <w:tcW w:w="1944" w:type="dxa"/>
            <w:tcBorders>
              <w:top w:val="nil"/>
              <w:left w:val="nil"/>
              <w:bottom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5,592,965.40</w:t>
            </w:r>
          </w:p>
        </w:tc>
      </w:tr>
      <w:tr w:rsidR="00BC6E59" w:rsidTr="00BC6E59">
        <w:trPr>
          <w:trHeight w:hRule="exact" w:val="454"/>
        </w:trPr>
        <w:tc>
          <w:tcPr>
            <w:tcW w:w="2451" w:type="dxa"/>
            <w:tcBorders>
              <w:top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Others</w:t>
            </w:r>
          </w:p>
        </w:tc>
        <w:tc>
          <w:tcPr>
            <w:tcW w:w="1844" w:type="dxa"/>
            <w:tcBorders>
              <w:top w:val="nil"/>
              <w:left w:val="nil"/>
              <w:bottom w:val="single" w:sz="4" w:space="0" w:color="auto"/>
              <w:right w:val="single" w:sz="4" w:space="0" w:color="auto"/>
            </w:tcBorders>
            <w:shd w:val="clear" w:color="auto" w:fill="auto"/>
            <w:vAlign w:val="center"/>
          </w:tcPr>
          <w:p w:rsidR="00BC6E59" w:rsidRP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sidRPr="00BC6E59">
              <w:rPr>
                <w:rFonts w:ascii="Arial Narrow" w:eastAsia="宋体" w:hAnsi="Arial Narrow" w:cs="Arial Narrow"/>
                <w:snapToGrid w:val="0"/>
                <w:kern w:val="0"/>
                <w:sz w:val="20"/>
                <w:szCs w:val="20"/>
              </w:rPr>
              <w:t>5,317.32</w:t>
            </w:r>
          </w:p>
        </w:tc>
        <w:tc>
          <w:tcPr>
            <w:tcW w:w="1701"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5,282.11 </w:t>
            </w:r>
          </w:p>
        </w:tc>
        <w:tc>
          <w:tcPr>
            <w:tcW w:w="1832" w:type="dxa"/>
            <w:tcBorders>
              <w:top w:val="nil"/>
              <w:left w:val="nil"/>
              <w:bottom w:val="single" w:sz="4" w:space="0" w:color="auto"/>
              <w:right w:val="single" w:sz="4" w:space="0" w:color="auto"/>
            </w:tcBorders>
            <w:shd w:val="clear" w:color="auto" w:fill="auto"/>
            <w:vAlign w:val="center"/>
          </w:tcPr>
          <w:p w:rsidR="00BC6E59" w:rsidRDefault="00BC6E59"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35.21</w:t>
            </w:r>
          </w:p>
        </w:tc>
        <w:tc>
          <w:tcPr>
            <w:tcW w:w="1944" w:type="dxa"/>
            <w:tcBorders>
              <w:top w:val="nil"/>
              <w:left w:val="nil"/>
              <w:bottom w:val="single" w:sz="4" w:space="0" w:color="auto"/>
            </w:tcBorders>
            <w:shd w:val="clear" w:color="auto" w:fill="auto"/>
            <w:vAlign w:val="center"/>
          </w:tcPr>
          <w:p w:rsidR="00BC6E59" w:rsidRDefault="00DF783A" w:rsidP="00BC6E59">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r w:rsidR="00BC6E59">
              <w:rPr>
                <w:rFonts w:ascii="Arial Narrow" w:eastAsia="宋体" w:hAnsi="Arial Narrow" w:cs="Arial Narrow" w:hint="eastAsia"/>
                <w:snapToGrid w:val="0"/>
                <w:kern w:val="0"/>
                <w:sz w:val="20"/>
                <w:szCs w:val="20"/>
              </w:rPr>
              <w:t xml:space="preserve">  </w:t>
            </w:r>
          </w:p>
        </w:tc>
      </w:tr>
      <w:tr w:rsidR="000B609E">
        <w:trPr>
          <w:trHeight w:hRule="exact" w:val="454"/>
        </w:trPr>
        <w:tc>
          <w:tcPr>
            <w:tcW w:w="2451"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84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w:t>
            </w:r>
            <w:r w:rsidR="00BC6E59" w:rsidRPr="00BC6E59">
              <w:rPr>
                <w:rFonts w:ascii="Arial Narrow" w:eastAsia="宋体" w:hAnsi="Arial Narrow" w:cs="Arial Narrow"/>
                <w:b/>
                <w:bCs/>
                <w:snapToGrid w:val="0"/>
                <w:kern w:val="0"/>
                <w:sz w:val="20"/>
                <w:szCs w:val="20"/>
              </w:rPr>
              <w:t>29,580,480.58</w:t>
            </w:r>
            <w:r>
              <w:rPr>
                <w:rFonts w:ascii="Arial Narrow" w:eastAsia="宋体" w:hAnsi="Arial Narrow" w:cs="Arial Narrow" w:hint="eastAsia"/>
                <w:b/>
                <w:bCs/>
                <w:snapToGrid w:val="0"/>
                <w:kern w:val="0"/>
                <w:sz w:val="20"/>
                <w:szCs w:val="20"/>
              </w:rPr>
              <w:t xml:space="preserve"> </w:t>
            </w:r>
          </w:p>
        </w:tc>
        <w:tc>
          <w:tcPr>
            <w:tcW w:w="1701"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12,048,383.32 </w:t>
            </w:r>
          </w:p>
        </w:tc>
        <w:tc>
          <w:tcPr>
            <w:tcW w:w="183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26,674,740.44</w:t>
            </w:r>
          </w:p>
        </w:tc>
        <w:tc>
          <w:tcPr>
            <w:tcW w:w="1944"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7,574,583.24 </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Estimated liabilities</w:t>
      </w:r>
    </w:p>
    <w:tbl>
      <w:tblPr>
        <w:tblW w:w="9708" w:type="dxa"/>
        <w:tblInd w:w="-595" w:type="dxa"/>
        <w:tblLayout w:type="fixed"/>
        <w:tblLook w:val="04A0" w:firstRow="1" w:lastRow="0" w:firstColumn="1" w:lastColumn="0" w:noHBand="0" w:noVBand="1"/>
      </w:tblPr>
      <w:tblGrid>
        <w:gridCol w:w="2456"/>
        <w:gridCol w:w="2089"/>
        <w:gridCol w:w="1833"/>
        <w:gridCol w:w="1722"/>
        <w:gridCol w:w="1608"/>
      </w:tblGrid>
      <w:tr w:rsidR="000B609E">
        <w:trPr>
          <w:trHeight w:val="334"/>
        </w:trPr>
        <w:tc>
          <w:tcPr>
            <w:tcW w:w="2456" w:type="dxa"/>
            <w:vMerge w:val="restart"/>
            <w:tcBorders>
              <w:top w:val="double" w:sz="4" w:space="0" w:color="auto"/>
              <w:bottom w:val="single" w:sz="4" w:space="0" w:color="auto"/>
              <w:right w:val="single" w:sz="4" w:space="0" w:color="auto"/>
            </w:tcBorders>
            <w:vAlign w:val="center"/>
          </w:tcPr>
          <w:p w:rsidR="000B609E" w:rsidRDefault="00B220E1">
            <w:pPr>
              <w:spacing w:afterLines="0" w:after="0"/>
              <w:ind w:firstLineChars="0" w:firstLine="0"/>
              <w:jc w:val="center"/>
              <w:rPr>
                <w:rFonts w:ascii="宋体" w:hAnsi="宋体" w:cs="宋体"/>
                <w:b/>
                <w:bCs/>
                <w:color w:val="000000"/>
              </w:rPr>
            </w:pPr>
            <w:r>
              <w:rPr>
                <w:rFonts w:ascii="Times New Roman" w:eastAsia="宋体" w:hAnsi="Times New Roman" w:cs="Times New Roman"/>
                <w:b/>
                <w:bCs/>
                <w:color w:val="000000"/>
                <w:kern w:val="0"/>
                <w:sz w:val="18"/>
                <w:szCs w:val="18"/>
              </w:rPr>
              <w:t>Items</w:t>
            </w:r>
          </w:p>
        </w:tc>
        <w:tc>
          <w:tcPr>
            <w:tcW w:w="3922"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bCs/>
                <w:color w:val="000000"/>
                <w:kern w:val="0"/>
                <w:sz w:val="18"/>
                <w:szCs w:val="18"/>
              </w:rPr>
              <w:t>Group</w:t>
            </w:r>
          </w:p>
        </w:tc>
        <w:tc>
          <w:tcPr>
            <w:tcW w:w="3330"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宋体" w:hAnsi="宋体" w:cs="宋体"/>
                <w:b/>
                <w:bCs/>
                <w:color w:val="000000"/>
              </w:rPr>
            </w:pPr>
            <w:r>
              <w:rPr>
                <w:rFonts w:ascii="Times New Roman" w:eastAsia="宋体" w:hAnsi="Times New Roman" w:cs="Times New Roman"/>
                <w:b/>
                <w:kern w:val="0"/>
                <w:sz w:val="18"/>
                <w:szCs w:val="18"/>
              </w:rPr>
              <w:t>Bank</w:t>
            </w:r>
          </w:p>
        </w:tc>
      </w:tr>
      <w:tr w:rsidR="000B609E">
        <w:trPr>
          <w:trHeight w:val="371"/>
        </w:trPr>
        <w:tc>
          <w:tcPr>
            <w:tcW w:w="2456"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422"/>
              <w:jc w:val="center"/>
              <w:rPr>
                <w:rFonts w:ascii="宋体" w:hAnsi="宋体" w:cs="宋体"/>
                <w:b/>
                <w:bCs/>
                <w:color w:val="000000"/>
              </w:rPr>
            </w:pPr>
          </w:p>
        </w:tc>
        <w:tc>
          <w:tcPr>
            <w:tcW w:w="208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Arial Narrow" w:hAnsi="Arial Narrow" w:cs="Arial Narrow"/>
                <w:b/>
                <w:bCs/>
                <w:color w:val="000000"/>
                <w:w w:val="90"/>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83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Arial Narrow" w:hAnsi="Arial Narrow" w:cs="Arial Narrow"/>
                <w:b/>
                <w:bCs/>
                <w:color w:val="000000"/>
                <w:w w:val="90"/>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72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Arial Narrow" w:hAnsi="Arial Narrow" w:cs="Arial Narrow"/>
                <w:b/>
                <w:bCs/>
                <w:color w:val="000000"/>
                <w:w w:val="90"/>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60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center"/>
              <w:rPr>
                <w:rFonts w:ascii="Arial Narrow" w:hAnsi="Arial Narrow" w:cs="Arial Narrow"/>
                <w:b/>
                <w:bCs/>
                <w:color w:val="000000"/>
                <w:w w:val="90"/>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0B609E" w:rsidTr="00DF783A">
        <w:trPr>
          <w:trHeight w:hRule="exact" w:val="732"/>
        </w:trPr>
        <w:tc>
          <w:tcPr>
            <w:tcW w:w="2456" w:type="dxa"/>
            <w:tcBorders>
              <w:top w:val="nil"/>
              <w:bottom w:val="single" w:sz="4" w:space="0" w:color="auto"/>
              <w:right w:val="single" w:sz="4" w:space="0" w:color="auto"/>
            </w:tcBorders>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proofErr w:type="gramStart"/>
            <w:r>
              <w:rPr>
                <w:rFonts w:ascii="Times New Roman" w:eastAsia="宋体" w:hAnsi="Times New Roman" w:cs="Times New Roman" w:hint="eastAsia"/>
                <w:kern w:val="0"/>
                <w:sz w:val="18"/>
                <w:szCs w:val="18"/>
              </w:rPr>
              <w:t>Off  balance</w:t>
            </w:r>
            <w:proofErr w:type="gramEnd"/>
            <w:r>
              <w:rPr>
                <w:rFonts w:ascii="Times New Roman" w:eastAsia="宋体" w:hAnsi="Times New Roman" w:cs="Times New Roman" w:hint="eastAsia"/>
                <w:kern w:val="0"/>
                <w:sz w:val="18"/>
                <w:szCs w:val="18"/>
              </w:rPr>
              <w:t xml:space="preserve"> sheet  expected credit loss</w:t>
            </w:r>
          </w:p>
        </w:tc>
        <w:tc>
          <w:tcPr>
            <w:tcW w:w="2089"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2,922,656.86</w:t>
            </w:r>
          </w:p>
        </w:tc>
        <w:tc>
          <w:tcPr>
            <w:tcW w:w="1833"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6,633,377.76</w:t>
            </w:r>
          </w:p>
        </w:tc>
        <w:tc>
          <w:tcPr>
            <w:tcW w:w="1722" w:type="dxa"/>
            <w:tcBorders>
              <w:top w:val="nil"/>
              <w:left w:val="nil"/>
              <w:bottom w:val="sing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2,922,656.86</w:t>
            </w:r>
          </w:p>
        </w:tc>
        <w:tc>
          <w:tcPr>
            <w:tcW w:w="1608" w:type="dxa"/>
            <w:tcBorders>
              <w:top w:val="nil"/>
              <w:left w:val="nil"/>
              <w:bottom w:val="single" w:sz="4" w:space="0" w:color="auto"/>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6,633,377.76</w:t>
            </w:r>
          </w:p>
        </w:tc>
      </w:tr>
      <w:tr w:rsidR="000B609E">
        <w:trPr>
          <w:trHeight w:hRule="exact" w:val="454"/>
        </w:trPr>
        <w:tc>
          <w:tcPr>
            <w:tcW w:w="2456" w:type="dxa"/>
            <w:tcBorders>
              <w:top w:val="nil"/>
              <w:bottom w:val="double" w:sz="4" w:space="0" w:color="auto"/>
              <w:right w:val="single" w:sz="4" w:space="0" w:color="auto"/>
            </w:tcBorders>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2089"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2,922,656.86</w:t>
            </w:r>
          </w:p>
        </w:tc>
        <w:tc>
          <w:tcPr>
            <w:tcW w:w="1833"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6,633,377.76</w:t>
            </w:r>
          </w:p>
        </w:tc>
        <w:tc>
          <w:tcPr>
            <w:tcW w:w="1722" w:type="dxa"/>
            <w:tcBorders>
              <w:top w:val="nil"/>
              <w:left w:val="nil"/>
              <w:bottom w:val="double" w:sz="4" w:space="0" w:color="auto"/>
              <w:right w:val="sing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2,922,656.86</w:t>
            </w:r>
          </w:p>
        </w:tc>
        <w:tc>
          <w:tcPr>
            <w:tcW w:w="1608" w:type="dxa"/>
            <w:tcBorders>
              <w:top w:val="nil"/>
              <w:left w:val="nil"/>
              <w:bottom w:val="double" w:sz="4" w:space="0" w:color="auto"/>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6,633,377.76</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Bond payable</w:t>
      </w:r>
    </w:p>
    <w:tbl>
      <w:tblPr>
        <w:tblW w:w="9708" w:type="dxa"/>
        <w:tblInd w:w="-595" w:type="dxa"/>
        <w:tblLayout w:type="fixed"/>
        <w:tblLook w:val="04A0" w:firstRow="1" w:lastRow="0" w:firstColumn="1" w:lastColumn="0" w:noHBand="0" w:noVBand="1"/>
      </w:tblPr>
      <w:tblGrid>
        <w:gridCol w:w="2131"/>
        <w:gridCol w:w="1600"/>
        <w:gridCol w:w="1722"/>
        <w:gridCol w:w="1722"/>
        <w:gridCol w:w="2533"/>
      </w:tblGrid>
      <w:tr w:rsidR="000B609E" w:rsidTr="00DF783A">
        <w:trPr>
          <w:trHeight w:val="334"/>
          <w:tblHeader/>
        </w:trPr>
        <w:tc>
          <w:tcPr>
            <w:tcW w:w="2131"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322"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4255"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rsidTr="00DF783A">
        <w:trPr>
          <w:trHeight w:val="371"/>
          <w:tblHeader/>
        </w:trPr>
        <w:tc>
          <w:tcPr>
            <w:tcW w:w="2131"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60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72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72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2533"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8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0B609E" w:rsidTr="00DF783A">
        <w:trPr>
          <w:trHeight w:hRule="exact" w:val="454"/>
          <w:tblHeader/>
        </w:trPr>
        <w:tc>
          <w:tcPr>
            <w:tcW w:w="2131"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Secondary capital bond</w:t>
            </w:r>
          </w:p>
        </w:tc>
        <w:tc>
          <w:tcPr>
            <w:tcW w:w="160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502,338,814.64</w:t>
            </w:r>
          </w:p>
        </w:tc>
        <w:tc>
          <w:tcPr>
            <w:tcW w:w="172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502,288,334.90</w:t>
            </w:r>
          </w:p>
        </w:tc>
        <w:tc>
          <w:tcPr>
            <w:tcW w:w="172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502,338,814.64</w:t>
            </w:r>
          </w:p>
        </w:tc>
        <w:tc>
          <w:tcPr>
            <w:tcW w:w="2533"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502,288,334.90</w:t>
            </w:r>
          </w:p>
        </w:tc>
      </w:tr>
      <w:tr w:rsidR="000B609E" w:rsidTr="00DF783A">
        <w:trPr>
          <w:trHeight w:hRule="exact" w:val="454"/>
          <w:tblHeader/>
        </w:trPr>
        <w:tc>
          <w:tcPr>
            <w:tcW w:w="2131"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60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bCs/>
                <w:color w:val="000000"/>
                <w:sz w:val="20"/>
                <w:szCs w:val="20"/>
              </w:rPr>
              <w:t>502,338,814.64</w:t>
            </w:r>
          </w:p>
        </w:tc>
        <w:tc>
          <w:tcPr>
            <w:tcW w:w="172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502,288,334.90</w:t>
            </w:r>
          </w:p>
        </w:tc>
        <w:tc>
          <w:tcPr>
            <w:tcW w:w="172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bCs/>
                <w:color w:val="000000"/>
                <w:sz w:val="20"/>
                <w:szCs w:val="20"/>
              </w:rPr>
              <w:t>502,338,814.64</w:t>
            </w:r>
          </w:p>
        </w:tc>
        <w:tc>
          <w:tcPr>
            <w:tcW w:w="2533"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502,288,334.90</w:t>
            </w:r>
          </w:p>
        </w:tc>
      </w:tr>
    </w:tbl>
    <w:p w:rsidR="000B609E" w:rsidRDefault="00B220E1">
      <w:pPr>
        <w:spacing w:beforeLines="50" w:before="156" w:afterLines="0" w:after="0" w:line="360" w:lineRule="auto"/>
        <w:ind w:firstLine="480"/>
        <w:rPr>
          <w:rFonts w:ascii="Times New Roman" w:hAnsi="Times New Roman" w:cs="Times New Roman"/>
          <w:sz w:val="24"/>
          <w:szCs w:val="24"/>
        </w:rPr>
      </w:pPr>
      <w:r>
        <w:rPr>
          <w:rFonts w:ascii="Times New Roman" w:hAnsi="Times New Roman" w:cs="Times New Roman" w:hint="eastAsia"/>
          <w:sz w:val="24"/>
          <w:szCs w:val="24"/>
        </w:rPr>
        <w:lastRenderedPageBreak/>
        <w:t>Note: On October 26</w:t>
      </w:r>
      <w:r>
        <w:rPr>
          <w:rFonts w:ascii="Times New Roman" w:hAnsi="Times New Roman" w:cs="Times New Roman"/>
          <w:sz w:val="24"/>
          <w:szCs w:val="24"/>
        </w:rPr>
        <w:t>, 2016</w:t>
      </w:r>
      <w:r>
        <w:rPr>
          <w:rFonts w:ascii="Times New Roman" w:hAnsi="Times New Roman" w:cs="Times New Roman" w:hint="eastAsia"/>
          <w:sz w:val="24"/>
          <w:szCs w:val="24"/>
        </w:rPr>
        <w:t xml:space="preserve">, the Group issued a secondary capital bond which named 16 </w:t>
      </w:r>
      <w:proofErr w:type="spellStart"/>
      <w:r>
        <w:rPr>
          <w:rFonts w:ascii="Times New Roman" w:hAnsi="Times New Roman" w:cs="Times New Roman" w:hint="eastAsia"/>
          <w:sz w:val="24"/>
          <w:szCs w:val="24"/>
        </w:rPr>
        <w:t>Jiangyan</w:t>
      </w:r>
      <w:proofErr w:type="spellEnd"/>
      <w:r>
        <w:rPr>
          <w:rFonts w:ascii="Times New Roman" w:hAnsi="Times New Roman" w:cs="Times New Roman" w:hint="eastAsia"/>
          <w:sz w:val="24"/>
          <w:szCs w:val="24"/>
        </w:rPr>
        <w:t xml:space="preserve"> </w:t>
      </w:r>
      <w:r>
        <w:rPr>
          <w:rFonts w:ascii="Times New Roman" w:hAnsi="Times New Roman" w:cs="Times New Roman"/>
          <w:sz w:val="24"/>
          <w:szCs w:val="24"/>
        </w:rPr>
        <w:t>Rural</w:t>
      </w:r>
      <w:r>
        <w:rPr>
          <w:rFonts w:ascii="Times New Roman" w:hAnsi="Times New Roman" w:cs="Times New Roman" w:hint="eastAsia"/>
          <w:sz w:val="24"/>
          <w:szCs w:val="24"/>
        </w:rPr>
        <w:t xml:space="preserve"> </w:t>
      </w:r>
      <w:r>
        <w:rPr>
          <w:rFonts w:ascii="Times New Roman" w:hAnsi="Times New Roman" w:cs="Times New Roman"/>
          <w:sz w:val="24"/>
          <w:szCs w:val="24"/>
        </w:rPr>
        <w:t>Commercial</w:t>
      </w:r>
      <w:r>
        <w:rPr>
          <w:rFonts w:ascii="Times New Roman" w:hAnsi="Times New Roman" w:cs="Times New Roman" w:hint="eastAsia"/>
          <w:sz w:val="24"/>
          <w:szCs w:val="24"/>
        </w:rPr>
        <w:t xml:space="preserve"> Secondary B</w:t>
      </w:r>
      <w:r>
        <w:rPr>
          <w:rFonts w:ascii="Times New Roman" w:hAnsi="Times New Roman" w:cs="Times New Roman"/>
          <w:sz w:val="24"/>
          <w:szCs w:val="24"/>
        </w:rPr>
        <w:t>ond</w:t>
      </w:r>
      <w:r>
        <w:rPr>
          <w:rFonts w:ascii="Times New Roman" w:hAnsi="Times New Roman" w:cs="Times New Roman" w:hint="eastAsia"/>
          <w:sz w:val="24"/>
          <w:szCs w:val="24"/>
        </w:rPr>
        <w:t>. Face value: RMB 500 million, coupon rate: 4.45%, period: 10 years</w:t>
      </w:r>
      <w:r>
        <w:rPr>
          <w:rFonts w:ascii="Times New Roman" w:hAnsi="Times New Roman" w:cs="Times New Roman"/>
          <w:sz w:val="24"/>
          <w:szCs w:val="24"/>
        </w:rPr>
        <w:t>, interests paid annually and the principal returned on the end of the period.</w:t>
      </w:r>
    </w:p>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Other liabilities</w:t>
      </w:r>
    </w:p>
    <w:tbl>
      <w:tblPr>
        <w:tblW w:w="9720" w:type="dxa"/>
        <w:tblInd w:w="-578" w:type="dxa"/>
        <w:tblLayout w:type="fixed"/>
        <w:tblLook w:val="04A0" w:firstRow="1" w:lastRow="0" w:firstColumn="1" w:lastColumn="0" w:noHBand="0" w:noVBand="1"/>
      </w:tblPr>
      <w:tblGrid>
        <w:gridCol w:w="1858"/>
        <w:gridCol w:w="1831"/>
        <w:gridCol w:w="1760"/>
        <w:gridCol w:w="1769"/>
        <w:gridCol w:w="2502"/>
      </w:tblGrid>
      <w:tr w:rsidR="000B609E">
        <w:trPr>
          <w:trHeight w:val="321"/>
          <w:tblHeader/>
        </w:trPr>
        <w:tc>
          <w:tcPr>
            <w:tcW w:w="1858"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591"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4271"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56"/>
          <w:tblHeader/>
        </w:trPr>
        <w:tc>
          <w:tcPr>
            <w:tcW w:w="1858"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rPr>
                <w:rFonts w:ascii="Times New Roman" w:eastAsia="宋体" w:hAnsi="Times New Roman" w:cs="Times New Roman"/>
                <w:b/>
                <w:bCs/>
                <w:color w:val="000000"/>
                <w:kern w:val="0"/>
                <w:sz w:val="18"/>
                <w:szCs w:val="18"/>
              </w:rPr>
            </w:pPr>
          </w:p>
        </w:tc>
        <w:tc>
          <w:tcPr>
            <w:tcW w:w="183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7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76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2502"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0B609E" w:rsidTr="00DF783A">
        <w:trPr>
          <w:trHeight w:hRule="exact" w:val="611"/>
        </w:trPr>
        <w:tc>
          <w:tcPr>
            <w:tcW w:w="185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Other payable</w:t>
            </w:r>
          </w:p>
        </w:tc>
        <w:tc>
          <w:tcPr>
            <w:tcW w:w="183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40,430,361.95</w:t>
            </w:r>
          </w:p>
        </w:tc>
        <w:tc>
          <w:tcPr>
            <w:tcW w:w="17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55,161,311.22 </w:t>
            </w:r>
          </w:p>
        </w:tc>
        <w:tc>
          <w:tcPr>
            <w:tcW w:w="176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40,257,218.39</w:t>
            </w:r>
          </w:p>
        </w:tc>
        <w:tc>
          <w:tcPr>
            <w:tcW w:w="2502"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55,014,882.26</w:t>
            </w:r>
          </w:p>
        </w:tc>
      </w:tr>
      <w:tr w:rsidR="000B609E" w:rsidTr="00DF783A">
        <w:trPr>
          <w:trHeight w:hRule="exact" w:val="576"/>
        </w:trPr>
        <w:tc>
          <w:tcPr>
            <w:tcW w:w="185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Dividends payable</w:t>
            </w:r>
          </w:p>
        </w:tc>
        <w:tc>
          <w:tcPr>
            <w:tcW w:w="183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6,975,149.04</w:t>
            </w:r>
          </w:p>
        </w:tc>
        <w:tc>
          <w:tcPr>
            <w:tcW w:w="17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7,111,647.38 </w:t>
            </w:r>
          </w:p>
        </w:tc>
        <w:tc>
          <w:tcPr>
            <w:tcW w:w="176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6,975,149.04</w:t>
            </w:r>
          </w:p>
        </w:tc>
        <w:tc>
          <w:tcPr>
            <w:tcW w:w="2502"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7,111,647.38</w:t>
            </w:r>
          </w:p>
        </w:tc>
      </w:tr>
      <w:tr w:rsidR="000B609E" w:rsidTr="00DF783A">
        <w:trPr>
          <w:trHeight w:hRule="exact" w:val="991"/>
        </w:trPr>
        <w:tc>
          <w:tcPr>
            <w:tcW w:w="1858"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Other Current Liabilities</w:t>
            </w:r>
          </w:p>
        </w:tc>
        <w:tc>
          <w:tcPr>
            <w:tcW w:w="183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1,553,859.99</w:t>
            </w:r>
          </w:p>
        </w:tc>
        <w:tc>
          <w:tcPr>
            <w:tcW w:w="176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1,826,907.33</w:t>
            </w:r>
          </w:p>
        </w:tc>
        <w:tc>
          <w:tcPr>
            <w:tcW w:w="176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1,553,859.99</w:t>
            </w:r>
          </w:p>
        </w:tc>
        <w:tc>
          <w:tcPr>
            <w:tcW w:w="2502"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1,826,907.33</w:t>
            </w:r>
          </w:p>
        </w:tc>
      </w:tr>
      <w:tr w:rsidR="000B609E">
        <w:trPr>
          <w:trHeight w:hRule="exact" w:val="454"/>
        </w:trPr>
        <w:tc>
          <w:tcPr>
            <w:tcW w:w="1858"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831"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bCs/>
                <w:color w:val="000000"/>
                <w:sz w:val="20"/>
                <w:szCs w:val="20"/>
              </w:rPr>
              <w:t>48,959,370.98</w:t>
            </w:r>
          </w:p>
        </w:tc>
        <w:tc>
          <w:tcPr>
            <w:tcW w:w="176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64,099,865.93</w:t>
            </w:r>
          </w:p>
        </w:tc>
        <w:tc>
          <w:tcPr>
            <w:tcW w:w="1769"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bCs/>
                <w:color w:val="000000"/>
                <w:sz w:val="20"/>
                <w:szCs w:val="20"/>
              </w:rPr>
              <w:t>48,786,227.42</w:t>
            </w:r>
          </w:p>
        </w:tc>
        <w:tc>
          <w:tcPr>
            <w:tcW w:w="2502"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63,953,436.97</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 xml:space="preserve"> Paid-in capital</w:t>
      </w:r>
    </w:p>
    <w:tbl>
      <w:tblPr>
        <w:tblW w:w="9720" w:type="dxa"/>
        <w:tblInd w:w="-595" w:type="dxa"/>
        <w:tblLayout w:type="fixed"/>
        <w:tblLook w:val="04A0" w:firstRow="1" w:lastRow="0" w:firstColumn="1" w:lastColumn="0" w:noHBand="0" w:noVBand="1"/>
      </w:tblPr>
      <w:tblGrid>
        <w:gridCol w:w="3829"/>
        <w:gridCol w:w="2963"/>
        <w:gridCol w:w="2928"/>
      </w:tblGrid>
      <w:tr w:rsidR="000B609E">
        <w:trPr>
          <w:trHeight w:val="377"/>
        </w:trPr>
        <w:tc>
          <w:tcPr>
            <w:tcW w:w="3829" w:type="dxa"/>
            <w:vMerge w:val="restart"/>
            <w:tcBorders>
              <w:top w:val="double" w:sz="4" w:space="0" w:color="auto"/>
              <w:bottom w:val="single" w:sz="4" w:space="0" w:color="000000"/>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5891"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val="270"/>
        </w:trPr>
        <w:tc>
          <w:tcPr>
            <w:tcW w:w="3829" w:type="dxa"/>
            <w:vMerge/>
            <w:tcBorders>
              <w:top w:val="single" w:sz="4" w:space="0" w:color="auto"/>
              <w:bottom w:val="single" w:sz="4" w:space="0" w:color="000000"/>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296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Beginning balance</w:t>
            </w:r>
          </w:p>
        </w:tc>
        <w:tc>
          <w:tcPr>
            <w:tcW w:w="2928"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Ending balance</w:t>
            </w:r>
          </w:p>
        </w:tc>
      </w:tr>
      <w:tr w:rsidR="000B609E" w:rsidTr="00DF783A">
        <w:trPr>
          <w:trHeight w:hRule="exact" w:val="542"/>
        </w:trPr>
        <w:tc>
          <w:tcPr>
            <w:tcW w:w="382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Legal person</w:t>
            </w:r>
          </w:p>
        </w:tc>
        <w:tc>
          <w:tcPr>
            <w:tcW w:w="296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627,939,320.00</w:t>
            </w:r>
          </w:p>
        </w:tc>
        <w:tc>
          <w:tcPr>
            <w:tcW w:w="292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677,468,145.00</w:t>
            </w:r>
          </w:p>
        </w:tc>
      </w:tr>
      <w:tr w:rsidR="000B609E" w:rsidTr="00DF783A">
        <w:trPr>
          <w:trHeight w:hRule="exact" w:val="564"/>
        </w:trPr>
        <w:tc>
          <w:tcPr>
            <w:tcW w:w="382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Natural person</w:t>
            </w:r>
          </w:p>
        </w:tc>
        <w:tc>
          <w:tcPr>
            <w:tcW w:w="296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172,060,680.00</w:t>
            </w:r>
          </w:p>
        </w:tc>
        <w:tc>
          <w:tcPr>
            <w:tcW w:w="292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186,531,855.00</w:t>
            </w:r>
          </w:p>
        </w:tc>
      </w:tr>
      <w:tr w:rsidR="000B609E">
        <w:trPr>
          <w:trHeight w:hRule="exact" w:val="454"/>
        </w:trPr>
        <w:tc>
          <w:tcPr>
            <w:tcW w:w="3829"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2963"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402"/>
              <w:jc w:val="right"/>
              <w:textAlignment w:val="top"/>
              <w:rPr>
                <w:rFonts w:ascii="Arial Narrow" w:hAnsi="Arial Narrow" w:cs="Calibri"/>
                <w:b/>
                <w:color w:val="000000"/>
                <w:sz w:val="20"/>
                <w:szCs w:val="20"/>
              </w:rPr>
            </w:pPr>
            <w:r>
              <w:rPr>
                <w:rFonts w:ascii="Arial Narrow" w:hAnsi="Arial Narrow" w:cs="Calibri"/>
                <w:b/>
                <w:color w:val="000000"/>
                <w:sz w:val="20"/>
                <w:szCs w:val="20"/>
              </w:rPr>
              <w:t>800,000,000.00</w:t>
            </w:r>
          </w:p>
        </w:tc>
        <w:tc>
          <w:tcPr>
            <w:tcW w:w="2928" w:type="dxa"/>
            <w:tcBorders>
              <w:top w:val="nil"/>
              <w:left w:val="nil"/>
              <w:bottom w:val="double" w:sz="4" w:space="0" w:color="auto"/>
            </w:tcBorders>
            <w:shd w:val="clear" w:color="auto" w:fill="auto"/>
            <w:vAlign w:val="center"/>
          </w:tcPr>
          <w:p w:rsidR="000B609E" w:rsidRDefault="00B220E1">
            <w:pPr>
              <w:spacing w:afterLines="0" w:after="0"/>
              <w:ind w:firstLine="402"/>
              <w:jc w:val="right"/>
              <w:textAlignment w:val="top"/>
              <w:rPr>
                <w:rFonts w:ascii="Arial Narrow" w:hAnsi="Arial Narrow" w:cs="Calibri"/>
                <w:b/>
                <w:color w:val="000000"/>
                <w:sz w:val="20"/>
                <w:szCs w:val="20"/>
              </w:rPr>
            </w:pPr>
            <w:r>
              <w:rPr>
                <w:rFonts w:ascii="Arial Narrow" w:hAnsi="Arial Narrow" w:cs="Calibri"/>
                <w:b/>
                <w:color w:val="000000"/>
                <w:sz w:val="20"/>
                <w:szCs w:val="20"/>
              </w:rPr>
              <w:t>864,000,000.00</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Capital surplus</w:t>
      </w:r>
    </w:p>
    <w:tbl>
      <w:tblPr>
        <w:tblW w:w="9708" w:type="dxa"/>
        <w:tblInd w:w="-578" w:type="dxa"/>
        <w:tblLayout w:type="fixed"/>
        <w:tblLook w:val="04A0" w:firstRow="1" w:lastRow="0" w:firstColumn="1" w:lastColumn="0" w:noHBand="0" w:noVBand="1"/>
      </w:tblPr>
      <w:tblGrid>
        <w:gridCol w:w="1857"/>
        <w:gridCol w:w="1926"/>
        <w:gridCol w:w="1683"/>
        <w:gridCol w:w="2010"/>
        <w:gridCol w:w="2232"/>
      </w:tblGrid>
      <w:tr w:rsidR="000B609E">
        <w:trPr>
          <w:trHeight w:val="342"/>
        </w:trPr>
        <w:tc>
          <w:tcPr>
            <w:tcW w:w="1857" w:type="dxa"/>
            <w:vMerge w:val="restart"/>
            <w:tcBorders>
              <w:top w:val="double" w:sz="4" w:space="0" w:color="auto"/>
              <w:bottom w:val="single" w:sz="4" w:space="0" w:color="000000"/>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7851" w:type="dxa"/>
            <w:gridSpan w:val="4"/>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bCs/>
                <w:color w:val="000000"/>
                <w:kern w:val="0"/>
                <w:sz w:val="18"/>
                <w:szCs w:val="18"/>
              </w:rPr>
              <w:t>2020-12-31</w:t>
            </w:r>
          </w:p>
        </w:tc>
      </w:tr>
      <w:tr w:rsidR="000B609E">
        <w:trPr>
          <w:trHeight w:val="308"/>
        </w:trPr>
        <w:tc>
          <w:tcPr>
            <w:tcW w:w="1857" w:type="dxa"/>
            <w:vMerge/>
            <w:tcBorders>
              <w:top w:val="single" w:sz="4" w:space="0" w:color="auto"/>
              <w:bottom w:val="single" w:sz="4" w:space="0" w:color="000000"/>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92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Beginning Balance</w:t>
            </w:r>
          </w:p>
        </w:tc>
        <w:tc>
          <w:tcPr>
            <w:tcW w:w="16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hint="eastAsia"/>
                <w:b/>
                <w:kern w:val="0"/>
                <w:sz w:val="18"/>
                <w:szCs w:val="18"/>
              </w:rPr>
              <w:t>Increase in current year</w:t>
            </w:r>
          </w:p>
        </w:tc>
        <w:tc>
          <w:tcPr>
            <w:tcW w:w="201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hint="eastAsia"/>
                <w:b/>
                <w:kern w:val="0"/>
                <w:sz w:val="18"/>
                <w:szCs w:val="18"/>
              </w:rPr>
              <w:t>Decrease in current year</w:t>
            </w:r>
          </w:p>
        </w:tc>
        <w:tc>
          <w:tcPr>
            <w:tcW w:w="2232"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hint="eastAsia"/>
                <w:b/>
                <w:kern w:val="0"/>
                <w:sz w:val="18"/>
                <w:szCs w:val="18"/>
              </w:rPr>
              <w:t>Ending Balance</w:t>
            </w:r>
          </w:p>
        </w:tc>
      </w:tr>
      <w:tr w:rsidR="000B609E" w:rsidTr="00DF783A">
        <w:trPr>
          <w:trHeight w:hRule="exact" w:val="576"/>
        </w:trPr>
        <w:tc>
          <w:tcPr>
            <w:tcW w:w="185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Share premium</w:t>
            </w:r>
          </w:p>
        </w:tc>
        <w:tc>
          <w:tcPr>
            <w:tcW w:w="1926"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718,137,000.00</w:t>
            </w:r>
          </w:p>
        </w:tc>
        <w:tc>
          <w:tcPr>
            <w:tcW w:w="1683"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201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64,000,000.00</w:t>
            </w:r>
          </w:p>
        </w:tc>
        <w:tc>
          <w:tcPr>
            <w:tcW w:w="2232"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color w:val="000000"/>
                <w:sz w:val="20"/>
                <w:szCs w:val="20"/>
              </w:rPr>
              <w:t>654,137,000.00</w:t>
            </w:r>
          </w:p>
        </w:tc>
      </w:tr>
      <w:tr w:rsidR="000B609E">
        <w:trPr>
          <w:trHeight w:hRule="exact" w:val="454"/>
        </w:trPr>
        <w:tc>
          <w:tcPr>
            <w:tcW w:w="1857"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926"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402"/>
              <w:jc w:val="right"/>
              <w:textAlignment w:val="top"/>
              <w:rPr>
                <w:rFonts w:ascii="Arial Narrow" w:hAnsi="Arial Narrow" w:cs="Calibri"/>
                <w:b/>
                <w:color w:val="000000"/>
                <w:sz w:val="20"/>
                <w:szCs w:val="20"/>
              </w:rPr>
            </w:pPr>
            <w:r>
              <w:rPr>
                <w:rFonts w:ascii="Arial Narrow" w:hAnsi="Arial Narrow" w:cs="Calibri"/>
                <w:b/>
                <w:color w:val="000000"/>
                <w:sz w:val="20"/>
                <w:szCs w:val="20"/>
              </w:rPr>
              <w:t>718,137,000.00</w:t>
            </w:r>
          </w:p>
        </w:tc>
        <w:tc>
          <w:tcPr>
            <w:tcW w:w="1683" w:type="dxa"/>
            <w:tcBorders>
              <w:top w:val="nil"/>
              <w:left w:val="nil"/>
              <w:bottom w:val="double" w:sz="4" w:space="0" w:color="auto"/>
              <w:right w:val="single" w:sz="4" w:space="0" w:color="auto"/>
            </w:tcBorders>
            <w:shd w:val="clear" w:color="auto" w:fill="auto"/>
            <w:vAlign w:val="center"/>
          </w:tcPr>
          <w:p w:rsidR="000B609E" w:rsidRDefault="00DF783A">
            <w:pPr>
              <w:spacing w:afterLines="0" w:after="0"/>
              <w:ind w:firstLine="402"/>
              <w:jc w:val="right"/>
              <w:textAlignment w:val="top"/>
              <w:rPr>
                <w:rFonts w:ascii="Arial Narrow" w:hAnsi="Arial Narrow" w:cs="Calibri"/>
                <w:b/>
                <w:color w:val="000000"/>
                <w:sz w:val="20"/>
                <w:szCs w:val="20"/>
              </w:rPr>
            </w:pPr>
            <w:r>
              <w:rPr>
                <w:rFonts w:ascii="Arial Narrow" w:hAnsi="Arial Narrow" w:cs="Calibri" w:hint="eastAsia"/>
                <w:b/>
                <w:color w:val="000000"/>
                <w:sz w:val="20"/>
                <w:szCs w:val="20"/>
              </w:rPr>
              <w:t>-</w:t>
            </w:r>
          </w:p>
        </w:tc>
        <w:tc>
          <w:tcPr>
            <w:tcW w:w="201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402"/>
              <w:jc w:val="right"/>
              <w:textAlignment w:val="top"/>
              <w:rPr>
                <w:rFonts w:ascii="Arial Narrow" w:hAnsi="Arial Narrow" w:cs="Calibri"/>
                <w:b/>
                <w:color w:val="000000"/>
                <w:sz w:val="20"/>
                <w:szCs w:val="20"/>
              </w:rPr>
            </w:pPr>
            <w:r>
              <w:rPr>
                <w:rFonts w:ascii="Arial Narrow" w:hAnsi="Arial Narrow" w:cs="Calibri"/>
                <w:b/>
                <w:color w:val="000000"/>
                <w:sz w:val="20"/>
                <w:szCs w:val="20"/>
              </w:rPr>
              <w:t>64,000,000.00</w:t>
            </w:r>
          </w:p>
        </w:tc>
        <w:tc>
          <w:tcPr>
            <w:tcW w:w="2232" w:type="dxa"/>
            <w:tcBorders>
              <w:top w:val="nil"/>
              <w:left w:val="nil"/>
              <w:bottom w:val="double" w:sz="4" w:space="0" w:color="auto"/>
            </w:tcBorders>
            <w:shd w:val="clear" w:color="auto" w:fill="auto"/>
            <w:vAlign w:val="center"/>
          </w:tcPr>
          <w:p w:rsidR="000B609E" w:rsidRDefault="00B220E1">
            <w:pPr>
              <w:spacing w:afterLines="0" w:after="0"/>
              <w:ind w:firstLine="402"/>
              <w:jc w:val="right"/>
              <w:textAlignment w:val="top"/>
              <w:rPr>
                <w:rFonts w:ascii="Arial Narrow" w:hAnsi="Arial Narrow" w:cs="Calibri"/>
                <w:b/>
                <w:color w:val="000000"/>
                <w:sz w:val="20"/>
                <w:szCs w:val="20"/>
              </w:rPr>
            </w:pPr>
            <w:r>
              <w:rPr>
                <w:rFonts w:ascii="Arial Narrow" w:hAnsi="Arial Narrow" w:cs="Calibri"/>
                <w:b/>
                <w:color w:val="000000"/>
                <w:sz w:val="20"/>
                <w:szCs w:val="20"/>
              </w:rPr>
              <w:t>654,137,000.00</w:t>
            </w:r>
          </w:p>
        </w:tc>
      </w:tr>
    </w:tbl>
    <w:p w:rsidR="00DF783A" w:rsidRDefault="00DF783A" w:rsidP="00DF783A">
      <w:pPr>
        <w:pStyle w:val="afff0"/>
        <w:spacing w:after="156"/>
        <w:ind w:left="420" w:firstLineChars="0" w:firstLine="0"/>
      </w:pPr>
    </w:p>
    <w:p w:rsidR="00DF783A" w:rsidRDefault="00DF783A" w:rsidP="00DF783A">
      <w:pPr>
        <w:pStyle w:val="afff0"/>
        <w:spacing w:after="156"/>
        <w:ind w:left="420" w:firstLineChars="0" w:firstLine="0"/>
      </w:pPr>
    </w:p>
    <w:p w:rsidR="00DF783A" w:rsidRDefault="00DF783A" w:rsidP="00DF783A">
      <w:pPr>
        <w:pStyle w:val="afff0"/>
        <w:spacing w:after="156"/>
        <w:ind w:left="420" w:firstLineChars="0" w:firstLine="0"/>
      </w:pPr>
    </w:p>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lastRenderedPageBreak/>
        <w:t>Other comprehensive income</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95"/>
        <w:gridCol w:w="1212"/>
        <w:gridCol w:w="1256"/>
        <w:gridCol w:w="1155"/>
        <w:gridCol w:w="1156"/>
        <w:gridCol w:w="1211"/>
        <w:gridCol w:w="845"/>
        <w:gridCol w:w="1396"/>
      </w:tblGrid>
      <w:tr w:rsidR="000B609E" w:rsidTr="00DF783A">
        <w:trPr>
          <w:trHeight w:val="405"/>
          <w:tblHeader/>
          <w:jc w:val="center"/>
        </w:trPr>
        <w:tc>
          <w:tcPr>
            <w:tcW w:w="1295" w:type="dxa"/>
            <w:vMerge w:val="restart"/>
            <w:tcBorders>
              <w:top w:val="double" w:sz="4" w:space="0" w:color="auto"/>
              <w:left w:val="nil"/>
            </w:tcBorders>
            <w:shd w:val="clear" w:color="auto" w:fill="auto"/>
            <w:vAlign w:val="center"/>
          </w:tcPr>
          <w:p w:rsidR="000B609E" w:rsidRDefault="00B220E1">
            <w:pPr>
              <w:spacing w:afterLines="0" w:after="0"/>
              <w:ind w:firstLineChars="0" w:firstLine="0"/>
              <w:jc w:val="center"/>
              <w:rPr>
                <w:rFonts w:ascii="Arial Narrow" w:hAnsi="Arial Narrow" w:cs="宋体"/>
                <w:b/>
                <w:color w:val="000000"/>
                <w:kern w:val="0"/>
              </w:rPr>
            </w:pPr>
            <w:r>
              <w:rPr>
                <w:rFonts w:ascii="Times New Roman" w:eastAsia="宋体" w:hAnsi="Times New Roman" w:cs="Times New Roman"/>
                <w:b/>
                <w:bCs/>
                <w:color w:val="000000"/>
                <w:kern w:val="0"/>
                <w:sz w:val="18"/>
                <w:szCs w:val="18"/>
              </w:rPr>
              <w:t>Items</w:t>
            </w:r>
          </w:p>
        </w:tc>
        <w:tc>
          <w:tcPr>
            <w:tcW w:w="1212" w:type="dxa"/>
            <w:vMerge w:val="restart"/>
            <w:tcBorders>
              <w:top w:val="double" w:sz="4" w:space="0" w:color="auto"/>
            </w:tcBorders>
            <w:shd w:val="clear" w:color="auto" w:fill="auto"/>
            <w:vAlign w:val="center"/>
          </w:tcPr>
          <w:p w:rsidR="000B609E" w:rsidRDefault="00B220E1">
            <w:pPr>
              <w:spacing w:afterLines="0" w:after="0"/>
              <w:ind w:firstLineChars="0" w:firstLine="0"/>
              <w:jc w:val="center"/>
              <w:rPr>
                <w:rFonts w:ascii="Arial Narrow" w:hAnsi="Arial Narrow" w:cs="宋体"/>
                <w:b/>
                <w:color w:val="000000"/>
                <w:kern w:val="0"/>
              </w:rPr>
            </w:pPr>
            <w:r>
              <w:rPr>
                <w:rFonts w:ascii="Times New Roman" w:eastAsia="宋体" w:hAnsi="Times New Roman" w:cs="Times New Roman" w:hint="eastAsia"/>
                <w:b/>
                <w:kern w:val="0"/>
                <w:sz w:val="18"/>
                <w:szCs w:val="18"/>
              </w:rPr>
              <w:t>2020-1-1</w:t>
            </w:r>
          </w:p>
        </w:tc>
        <w:tc>
          <w:tcPr>
            <w:tcW w:w="5623" w:type="dxa"/>
            <w:gridSpan w:val="5"/>
            <w:tcBorders>
              <w:top w:val="double" w:sz="4" w:space="0" w:color="auto"/>
            </w:tcBorders>
            <w:shd w:val="clear" w:color="auto" w:fill="auto"/>
            <w:vAlign w:val="center"/>
          </w:tcPr>
          <w:p w:rsidR="000B609E" w:rsidRDefault="00B220E1">
            <w:pPr>
              <w:spacing w:afterLines="0" w:after="0"/>
              <w:ind w:firstLine="422"/>
              <w:jc w:val="center"/>
              <w:rPr>
                <w:rFonts w:ascii="Arial Narrow" w:hAnsi="Arial Narrow" w:cs="宋体"/>
                <w:b/>
                <w:color w:val="000000"/>
                <w:kern w:val="0"/>
              </w:rPr>
            </w:pPr>
            <w:r>
              <w:rPr>
                <w:rFonts w:ascii="Arial Narrow" w:hAnsi="Arial Narrow" w:cs="宋体" w:hint="eastAsia"/>
                <w:b/>
                <w:color w:val="000000"/>
                <w:kern w:val="0"/>
              </w:rPr>
              <w:t>Current amount</w:t>
            </w:r>
          </w:p>
        </w:tc>
        <w:tc>
          <w:tcPr>
            <w:tcW w:w="1396" w:type="dxa"/>
            <w:vMerge w:val="restart"/>
            <w:tcBorders>
              <w:top w:val="double" w:sz="4" w:space="0" w:color="auto"/>
              <w:right w:val="nil"/>
            </w:tcBorders>
            <w:shd w:val="clear" w:color="auto" w:fill="auto"/>
            <w:vAlign w:val="center"/>
          </w:tcPr>
          <w:p w:rsidR="000B609E" w:rsidRDefault="00B220E1">
            <w:pPr>
              <w:spacing w:afterLines="0" w:after="0"/>
              <w:ind w:firstLineChars="0" w:firstLine="0"/>
              <w:jc w:val="center"/>
              <w:rPr>
                <w:rFonts w:ascii="Arial Narrow" w:hAnsi="Arial Narrow" w:cs="宋体"/>
                <w:b/>
                <w:color w:val="000000"/>
                <w:kern w:val="0"/>
              </w:rPr>
            </w:pPr>
            <w:r>
              <w:rPr>
                <w:rFonts w:ascii="Times New Roman" w:eastAsia="宋体" w:hAnsi="Times New Roman" w:cs="Times New Roman" w:hint="eastAsia"/>
                <w:b/>
                <w:kern w:val="0"/>
                <w:sz w:val="18"/>
                <w:szCs w:val="18"/>
              </w:rPr>
              <w:t>Ending Balance</w:t>
            </w:r>
          </w:p>
        </w:tc>
      </w:tr>
      <w:tr w:rsidR="000B609E" w:rsidTr="00DF783A">
        <w:trPr>
          <w:trHeight w:val="960"/>
          <w:tblHeader/>
          <w:jc w:val="center"/>
        </w:trPr>
        <w:tc>
          <w:tcPr>
            <w:tcW w:w="1295" w:type="dxa"/>
            <w:vMerge/>
            <w:tcBorders>
              <w:left w:val="nil"/>
            </w:tcBorders>
            <w:shd w:val="clear" w:color="auto" w:fill="auto"/>
            <w:vAlign w:val="center"/>
          </w:tcPr>
          <w:p w:rsidR="000B609E" w:rsidRDefault="000B609E">
            <w:pPr>
              <w:keepNext/>
              <w:keepLines/>
              <w:spacing w:afterLines="0" w:after="0"/>
              <w:ind w:firstLine="422"/>
              <w:outlineLvl w:val="0"/>
              <w:rPr>
                <w:rFonts w:ascii="Arial Narrow" w:hAnsi="Arial Narrow" w:cs="宋体"/>
                <w:b/>
                <w:color w:val="000000"/>
                <w:kern w:val="0"/>
              </w:rPr>
            </w:pPr>
          </w:p>
        </w:tc>
        <w:tc>
          <w:tcPr>
            <w:tcW w:w="1212" w:type="dxa"/>
            <w:vMerge/>
            <w:shd w:val="clear" w:color="auto" w:fill="auto"/>
            <w:vAlign w:val="center"/>
          </w:tcPr>
          <w:p w:rsidR="000B609E" w:rsidRDefault="000B609E">
            <w:pPr>
              <w:keepNext/>
              <w:keepLines/>
              <w:spacing w:afterLines="0" w:after="0"/>
              <w:ind w:firstLine="422"/>
              <w:outlineLvl w:val="0"/>
              <w:rPr>
                <w:rFonts w:ascii="Arial Narrow" w:hAnsi="Arial Narrow" w:cs="宋体"/>
                <w:b/>
                <w:color w:val="000000"/>
                <w:kern w:val="0"/>
              </w:rPr>
            </w:pPr>
          </w:p>
        </w:tc>
        <w:tc>
          <w:tcPr>
            <w:tcW w:w="1256" w:type="dxa"/>
            <w:shd w:val="clear" w:color="auto" w:fill="auto"/>
            <w:vAlign w:val="center"/>
          </w:tcPr>
          <w:p w:rsidR="000B609E" w:rsidRDefault="00B220E1">
            <w:pPr>
              <w:spacing w:afterLines="0" w:after="0"/>
              <w:ind w:firstLineChars="0" w:firstLine="0"/>
              <w:jc w:val="center"/>
              <w:rPr>
                <w:rFonts w:ascii="Arial Narrow" w:hAnsi="Arial Narrow" w:cs="宋体"/>
                <w:b/>
                <w:color w:val="000000"/>
                <w:kern w:val="0"/>
                <w:highlight w:val="green"/>
              </w:rPr>
            </w:pPr>
            <w:r>
              <w:rPr>
                <w:rFonts w:ascii="Times New Roman" w:eastAsia="宋体" w:hAnsi="Times New Roman" w:cs="Times New Roman" w:hint="eastAsia"/>
                <w:b/>
                <w:kern w:val="0"/>
                <w:sz w:val="18"/>
                <w:szCs w:val="18"/>
              </w:rPr>
              <w:t>Current amount net of income tax</w:t>
            </w:r>
          </w:p>
        </w:tc>
        <w:tc>
          <w:tcPr>
            <w:tcW w:w="1155" w:type="dxa"/>
            <w:shd w:val="clear" w:color="auto" w:fill="auto"/>
            <w:vAlign w:val="center"/>
          </w:tcPr>
          <w:p w:rsidR="000B609E" w:rsidRDefault="00B220E1">
            <w:pPr>
              <w:spacing w:afterLines="0" w:after="0"/>
              <w:ind w:firstLine="361"/>
              <w:jc w:val="center"/>
              <w:rPr>
                <w:rFonts w:ascii="Arial Narrow" w:hAnsi="Arial Narrow" w:cs="宋体"/>
                <w:b/>
                <w:color w:val="000000"/>
                <w:kern w:val="0"/>
                <w:highlight w:val="green"/>
              </w:rPr>
            </w:pPr>
            <w:r>
              <w:rPr>
                <w:rFonts w:ascii="Times New Roman" w:eastAsia="宋体" w:hAnsi="Times New Roman" w:cs="Times New Roman"/>
                <w:b/>
                <w:bCs/>
                <w:color w:val="000000"/>
                <w:kern w:val="0"/>
                <w:sz w:val="18"/>
                <w:szCs w:val="18"/>
              </w:rPr>
              <w:t>Minus:</w:t>
            </w:r>
            <w:r>
              <w:rPr>
                <w:rFonts w:ascii="Times New Roman" w:eastAsia="宋体" w:hAnsi="Times New Roman" w:cs="Times New Roman" w:hint="eastAsia"/>
                <w:b/>
                <w:bCs/>
                <w:color w:val="000000"/>
                <w:kern w:val="0"/>
                <w:sz w:val="18"/>
                <w:szCs w:val="18"/>
              </w:rPr>
              <w:t xml:space="preserve"> included in other comprehensive income previously and transferred into profits and loss this period</w:t>
            </w:r>
          </w:p>
        </w:tc>
        <w:tc>
          <w:tcPr>
            <w:tcW w:w="1156" w:type="dxa"/>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Minus: income tax</w:t>
            </w:r>
          </w:p>
        </w:tc>
        <w:tc>
          <w:tcPr>
            <w:tcW w:w="1211" w:type="dxa"/>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 xml:space="preserve">Attributable to the parent company net </w:t>
            </w:r>
            <w:proofErr w:type="gramStart"/>
            <w:r>
              <w:rPr>
                <w:rFonts w:ascii="Times New Roman" w:eastAsia="宋体" w:hAnsi="Times New Roman" w:cs="Times New Roman" w:hint="eastAsia"/>
                <w:b/>
                <w:kern w:val="0"/>
                <w:sz w:val="18"/>
                <w:szCs w:val="18"/>
              </w:rPr>
              <w:t>of  income</w:t>
            </w:r>
            <w:proofErr w:type="gramEnd"/>
            <w:r>
              <w:rPr>
                <w:rFonts w:ascii="Times New Roman" w:eastAsia="宋体" w:hAnsi="Times New Roman" w:cs="Times New Roman" w:hint="eastAsia"/>
                <w:b/>
                <w:kern w:val="0"/>
                <w:sz w:val="18"/>
                <w:szCs w:val="18"/>
              </w:rPr>
              <w:t xml:space="preserve"> tax</w:t>
            </w:r>
          </w:p>
        </w:tc>
        <w:tc>
          <w:tcPr>
            <w:tcW w:w="845" w:type="dxa"/>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 xml:space="preserve">Attributable </w:t>
            </w:r>
            <w:proofErr w:type="gramStart"/>
            <w:r>
              <w:rPr>
                <w:rFonts w:ascii="Times New Roman" w:eastAsia="宋体" w:hAnsi="Times New Roman" w:cs="Times New Roman" w:hint="eastAsia"/>
                <w:b/>
                <w:kern w:val="0"/>
                <w:sz w:val="18"/>
                <w:szCs w:val="18"/>
              </w:rPr>
              <w:t>to  the</w:t>
            </w:r>
            <w:proofErr w:type="gramEnd"/>
            <w:r>
              <w:rPr>
                <w:rFonts w:ascii="Times New Roman" w:eastAsia="宋体" w:hAnsi="Times New Roman" w:cs="Times New Roman" w:hint="eastAsia"/>
                <w:b/>
                <w:kern w:val="0"/>
                <w:sz w:val="18"/>
                <w:szCs w:val="18"/>
              </w:rPr>
              <w:t xml:space="preserve"> minority shareholder ,net of   income tax</w:t>
            </w:r>
          </w:p>
        </w:tc>
        <w:tc>
          <w:tcPr>
            <w:tcW w:w="1396" w:type="dxa"/>
            <w:vMerge/>
            <w:tcBorders>
              <w:right w:val="nil"/>
            </w:tcBorders>
            <w:shd w:val="clear" w:color="auto" w:fill="auto"/>
            <w:vAlign w:val="center"/>
          </w:tcPr>
          <w:p w:rsidR="000B609E" w:rsidRDefault="000B609E">
            <w:pPr>
              <w:keepNext/>
              <w:keepLines/>
              <w:spacing w:afterLines="0" w:after="0"/>
              <w:ind w:firstLine="420"/>
              <w:outlineLvl w:val="0"/>
              <w:rPr>
                <w:rFonts w:ascii="Arial Narrow" w:hAnsi="Arial Narrow" w:cs="宋体"/>
                <w:color w:val="000000"/>
                <w:kern w:val="0"/>
              </w:rPr>
            </w:pPr>
          </w:p>
        </w:tc>
      </w:tr>
      <w:tr w:rsidR="000B609E" w:rsidTr="00DF783A">
        <w:trPr>
          <w:trHeight w:hRule="exact" w:val="454"/>
          <w:tblHeader/>
          <w:jc w:val="center"/>
        </w:trPr>
        <w:tc>
          <w:tcPr>
            <w:tcW w:w="9526" w:type="dxa"/>
            <w:gridSpan w:val="8"/>
            <w:tcBorders>
              <w:left w:val="nil"/>
              <w:right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Items that may be reclassified subsequently to profit or loss</w:t>
            </w:r>
          </w:p>
        </w:tc>
      </w:tr>
      <w:tr w:rsidR="000B609E" w:rsidTr="00DF783A">
        <w:trPr>
          <w:trHeight w:hRule="exact" w:val="1619"/>
          <w:tblHeader/>
          <w:jc w:val="center"/>
        </w:trPr>
        <w:tc>
          <w:tcPr>
            <w:tcW w:w="1295" w:type="dxa"/>
            <w:tcBorders>
              <w:left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-Changes in the fair value of other debt investments </w:t>
            </w:r>
          </w:p>
        </w:tc>
        <w:tc>
          <w:tcPr>
            <w:tcW w:w="1212" w:type="dxa"/>
            <w:shd w:val="clear" w:color="auto" w:fill="auto"/>
            <w:vAlign w:val="center"/>
          </w:tcPr>
          <w:p w:rsidR="000B609E" w:rsidRDefault="00B220E1">
            <w:pPr>
              <w:spacing w:afterLines="0" w:after="0"/>
              <w:ind w:firstLine="360"/>
              <w:jc w:val="right"/>
              <w:rPr>
                <w:rFonts w:ascii="Arial Narrow" w:hAnsi="Arial Narrow" w:cs="Arial Narrow"/>
                <w:color w:val="000000"/>
                <w:sz w:val="18"/>
                <w:szCs w:val="18"/>
              </w:rPr>
            </w:pPr>
            <w:r>
              <w:rPr>
                <w:rFonts w:ascii="Arial Narrow" w:hAnsi="Arial Narrow" w:cs="Arial Narrow"/>
                <w:sz w:val="18"/>
                <w:szCs w:val="18"/>
              </w:rPr>
              <w:t>-</w:t>
            </w:r>
          </w:p>
        </w:tc>
        <w:tc>
          <w:tcPr>
            <w:tcW w:w="125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sz w:val="18"/>
                <w:szCs w:val="18"/>
              </w:rPr>
              <w:t>-28,052,587.15</w:t>
            </w:r>
          </w:p>
        </w:tc>
        <w:tc>
          <w:tcPr>
            <w:tcW w:w="1155"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color w:val="000000"/>
                <w:sz w:val="18"/>
                <w:szCs w:val="18"/>
              </w:rPr>
              <w:t>-</w:t>
            </w:r>
          </w:p>
        </w:tc>
        <w:tc>
          <w:tcPr>
            <w:tcW w:w="115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sz w:val="18"/>
                <w:szCs w:val="18"/>
              </w:rPr>
              <w:t>-7,013,146.79</w:t>
            </w:r>
          </w:p>
        </w:tc>
        <w:tc>
          <w:tcPr>
            <w:tcW w:w="1211"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sz w:val="18"/>
                <w:szCs w:val="18"/>
              </w:rPr>
              <w:t>-21,039,440.36</w:t>
            </w:r>
          </w:p>
        </w:tc>
        <w:tc>
          <w:tcPr>
            <w:tcW w:w="845"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color w:val="000000"/>
                <w:sz w:val="18"/>
                <w:szCs w:val="18"/>
              </w:rPr>
              <w:t>-</w:t>
            </w:r>
          </w:p>
        </w:tc>
        <w:tc>
          <w:tcPr>
            <w:tcW w:w="1396" w:type="dxa"/>
            <w:tcBorders>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sz w:val="18"/>
                <w:szCs w:val="18"/>
              </w:rPr>
              <w:t>-21,039,440.36</w:t>
            </w:r>
          </w:p>
        </w:tc>
      </w:tr>
      <w:tr w:rsidR="000B609E" w:rsidTr="00DF783A">
        <w:trPr>
          <w:trHeight w:hRule="exact" w:val="1228"/>
          <w:tblHeader/>
          <w:jc w:val="center"/>
        </w:trPr>
        <w:tc>
          <w:tcPr>
            <w:tcW w:w="1295" w:type="dxa"/>
            <w:tcBorders>
              <w:left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-Provision for impairment of other debt investments </w:t>
            </w:r>
          </w:p>
        </w:tc>
        <w:tc>
          <w:tcPr>
            <w:tcW w:w="1212" w:type="dxa"/>
            <w:shd w:val="clear" w:color="auto" w:fill="auto"/>
            <w:vAlign w:val="center"/>
          </w:tcPr>
          <w:p w:rsidR="000B609E" w:rsidRDefault="00B220E1">
            <w:pPr>
              <w:spacing w:afterLines="0" w:after="0"/>
              <w:ind w:firstLineChars="0" w:firstLine="0"/>
              <w:jc w:val="right"/>
              <w:rPr>
                <w:rFonts w:ascii="Arial Narrow" w:hAnsi="Arial Narrow" w:cs="Arial Narrow"/>
                <w:color w:val="000000"/>
                <w:sz w:val="18"/>
                <w:szCs w:val="18"/>
              </w:rPr>
            </w:pPr>
            <w:r>
              <w:rPr>
                <w:rFonts w:ascii="Arial Narrow" w:hAnsi="Arial Narrow" w:cs="Arial Narrow"/>
                <w:sz w:val="18"/>
                <w:szCs w:val="18"/>
              </w:rPr>
              <w:t>23,442,069.97</w:t>
            </w:r>
          </w:p>
        </w:tc>
        <w:tc>
          <w:tcPr>
            <w:tcW w:w="1256" w:type="dxa"/>
            <w:shd w:val="clear" w:color="auto" w:fill="auto"/>
            <w:vAlign w:val="center"/>
          </w:tcPr>
          <w:p w:rsidR="000B609E" w:rsidRDefault="00B220E1">
            <w:pPr>
              <w:spacing w:afterLines="0" w:after="0"/>
              <w:ind w:firstLineChars="0" w:firstLine="0"/>
              <w:jc w:val="right"/>
              <w:rPr>
                <w:rFonts w:ascii="Arial Narrow" w:hAnsi="Arial Narrow" w:cs="Arial Narrow"/>
                <w:color w:val="000000"/>
                <w:sz w:val="18"/>
                <w:szCs w:val="18"/>
              </w:rPr>
            </w:pPr>
            <w:r>
              <w:rPr>
                <w:rFonts w:ascii="Arial Narrow" w:hAnsi="Arial Narrow" w:cs="Arial Narrow"/>
                <w:sz w:val="18"/>
                <w:szCs w:val="18"/>
              </w:rPr>
              <w:t>16,497,583.03</w:t>
            </w:r>
          </w:p>
        </w:tc>
        <w:tc>
          <w:tcPr>
            <w:tcW w:w="1155" w:type="dxa"/>
            <w:shd w:val="clear" w:color="auto" w:fill="auto"/>
            <w:vAlign w:val="center"/>
          </w:tcPr>
          <w:p w:rsidR="000B609E" w:rsidRDefault="00B220E1">
            <w:pPr>
              <w:spacing w:afterLines="0" w:after="0"/>
              <w:ind w:firstLineChars="0" w:firstLine="0"/>
              <w:jc w:val="right"/>
              <w:rPr>
                <w:rFonts w:ascii="Arial Narrow" w:hAnsi="Arial Narrow" w:cs="Arial Narrow"/>
                <w:color w:val="000000"/>
                <w:sz w:val="18"/>
                <w:szCs w:val="18"/>
              </w:rPr>
            </w:pPr>
            <w:r>
              <w:rPr>
                <w:rFonts w:ascii="Arial Narrow" w:hAnsi="Arial Narrow" w:cs="Arial Narrow"/>
                <w:sz w:val="18"/>
                <w:szCs w:val="18"/>
              </w:rPr>
              <w:t>-</w:t>
            </w:r>
          </w:p>
        </w:tc>
        <w:tc>
          <w:tcPr>
            <w:tcW w:w="1156" w:type="dxa"/>
            <w:shd w:val="clear" w:color="auto" w:fill="auto"/>
            <w:vAlign w:val="center"/>
          </w:tcPr>
          <w:p w:rsidR="000B609E" w:rsidRDefault="00B220E1">
            <w:pPr>
              <w:spacing w:afterLines="0" w:after="0"/>
              <w:ind w:firstLineChars="0" w:firstLine="0"/>
              <w:jc w:val="right"/>
              <w:rPr>
                <w:rFonts w:ascii="Arial Narrow" w:hAnsi="Arial Narrow" w:cs="Arial Narrow"/>
                <w:color w:val="000000"/>
                <w:sz w:val="18"/>
                <w:szCs w:val="18"/>
              </w:rPr>
            </w:pPr>
            <w:r>
              <w:rPr>
                <w:rFonts w:ascii="Arial Narrow" w:hAnsi="Arial Narrow" w:cs="Arial Narrow"/>
                <w:sz w:val="18"/>
                <w:szCs w:val="18"/>
              </w:rPr>
              <w:t>4,124,395.76</w:t>
            </w:r>
          </w:p>
        </w:tc>
        <w:tc>
          <w:tcPr>
            <w:tcW w:w="1211" w:type="dxa"/>
            <w:shd w:val="clear" w:color="auto" w:fill="auto"/>
            <w:vAlign w:val="center"/>
          </w:tcPr>
          <w:p w:rsidR="000B609E" w:rsidRDefault="00B220E1">
            <w:pPr>
              <w:spacing w:afterLines="0" w:after="0"/>
              <w:ind w:firstLineChars="0" w:firstLine="0"/>
              <w:jc w:val="right"/>
              <w:rPr>
                <w:rFonts w:ascii="Arial Narrow" w:hAnsi="Arial Narrow" w:cs="Arial Narrow"/>
                <w:color w:val="000000"/>
                <w:sz w:val="18"/>
                <w:szCs w:val="18"/>
              </w:rPr>
            </w:pPr>
            <w:r>
              <w:rPr>
                <w:rFonts w:ascii="Arial Narrow" w:hAnsi="Arial Narrow" w:cs="Arial Narrow"/>
                <w:sz w:val="18"/>
                <w:szCs w:val="18"/>
              </w:rPr>
              <w:t>12,373,187.27</w:t>
            </w:r>
          </w:p>
        </w:tc>
        <w:tc>
          <w:tcPr>
            <w:tcW w:w="845" w:type="dxa"/>
            <w:shd w:val="clear" w:color="auto" w:fill="auto"/>
            <w:vAlign w:val="center"/>
          </w:tcPr>
          <w:p w:rsidR="000B609E" w:rsidRDefault="00B220E1">
            <w:pPr>
              <w:spacing w:afterLines="0" w:after="0"/>
              <w:ind w:firstLineChars="0" w:firstLine="0"/>
              <w:jc w:val="right"/>
              <w:rPr>
                <w:rFonts w:ascii="Arial Narrow" w:hAnsi="Arial Narrow" w:cs="Arial Narrow"/>
                <w:color w:val="000000"/>
                <w:sz w:val="18"/>
                <w:szCs w:val="18"/>
              </w:rPr>
            </w:pPr>
            <w:r>
              <w:rPr>
                <w:rFonts w:ascii="Arial Narrow" w:hAnsi="Arial Narrow" w:cs="Arial Narrow"/>
                <w:sz w:val="18"/>
                <w:szCs w:val="18"/>
              </w:rPr>
              <w:t>-</w:t>
            </w:r>
          </w:p>
        </w:tc>
        <w:tc>
          <w:tcPr>
            <w:tcW w:w="1396" w:type="dxa"/>
            <w:tcBorders>
              <w:right w:val="nil"/>
            </w:tcBorders>
            <w:shd w:val="clear" w:color="auto" w:fill="auto"/>
            <w:vAlign w:val="center"/>
          </w:tcPr>
          <w:p w:rsidR="000B609E" w:rsidRDefault="00B220E1">
            <w:pPr>
              <w:spacing w:afterLines="0" w:after="0"/>
              <w:ind w:firstLineChars="0" w:firstLine="0"/>
              <w:jc w:val="right"/>
              <w:rPr>
                <w:rFonts w:ascii="Arial Narrow" w:hAnsi="Arial Narrow" w:cs="Arial Narrow"/>
                <w:color w:val="000000"/>
                <w:sz w:val="18"/>
                <w:szCs w:val="18"/>
              </w:rPr>
            </w:pPr>
            <w:r>
              <w:rPr>
                <w:rFonts w:ascii="Arial Narrow" w:hAnsi="Arial Narrow" w:cs="Arial Narrow"/>
                <w:sz w:val="18"/>
                <w:szCs w:val="18"/>
              </w:rPr>
              <w:t>35,815,257.24</w:t>
            </w:r>
          </w:p>
        </w:tc>
      </w:tr>
      <w:tr w:rsidR="000B609E" w:rsidTr="00DF783A">
        <w:trPr>
          <w:trHeight w:hRule="exact" w:val="454"/>
          <w:tblHeader/>
          <w:jc w:val="center"/>
        </w:trPr>
        <w:tc>
          <w:tcPr>
            <w:tcW w:w="1295" w:type="dxa"/>
            <w:tcBorders>
              <w:left w:val="nil"/>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Others</w:t>
            </w:r>
          </w:p>
        </w:tc>
        <w:tc>
          <w:tcPr>
            <w:tcW w:w="121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color w:val="000000"/>
                <w:sz w:val="18"/>
                <w:szCs w:val="18"/>
              </w:rPr>
              <w:t>-265,351.57</w:t>
            </w:r>
          </w:p>
        </w:tc>
        <w:tc>
          <w:tcPr>
            <w:tcW w:w="125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color w:val="000000"/>
                <w:sz w:val="18"/>
                <w:szCs w:val="18"/>
              </w:rPr>
              <w:t>-25,295.92</w:t>
            </w:r>
          </w:p>
        </w:tc>
        <w:tc>
          <w:tcPr>
            <w:tcW w:w="1155"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color w:val="000000"/>
                <w:sz w:val="18"/>
                <w:szCs w:val="18"/>
              </w:rPr>
              <w:t>-</w:t>
            </w:r>
          </w:p>
        </w:tc>
        <w:tc>
          <w:tcPr>
            <w:tcW w:w="1156"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color w:val="000000"/>
                <w:sz w:val="18"/>
                <w:szCs w:val="18"/>
              </w:rPr>
              <w:t>-6,323.98</w:t>
            </w:r>
          </w:p>
        </w:tc>
        <w:tc>
          <w:tcPr>
            <w:tcW w:w="1211"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color w:val="000000"/>
                <w:sz w:val="18"/>
                <w:szCs w:val="18"/>
              </w:rPr>
              <w:t>-18,971.94</w:t>
            </w:r>
          </w:p>
        </w:tc>
        <w:tc>
          <w:tcPr>
            <w:tcW w:w="845"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color w:val="000000"/>
                <w:sz w:val="18"/>
                <w:szCs w:val="18"/>
              </w:rPr>
              <w:t>-</w:t>
            </w:r>
          </w:p>
        </w:tc>
        <w:tc>
          <w:tcPr>
            <w:tcW w:w="1396" w:type="dxa"/>
            <w:tcBorders>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18"/>
                <w:szCs w:val="18"/>
              </w:rPr>
            </w:pPr>
            <w:r>
              <w:rPr>
                <w:rFonts w:ascii="Arial Narrow" w:hAnsi="Arial Narrow" w:cs="Arial Narrow"/>
                <w:color w:val="000000"/>
                <w:sz w:val="18"/>
                <w:szCs w:val="18"/>
              </w:rPr>
              <w:t>-284,323.51</w:t>
            </w:r>
          </w:p>
        </w:tc>
      </w:tr>
      <w:tr w:rsidR="000B609E" w:rsidTr="00DF783A">
        <w:trPr>
          <w:trHeight w:hRule="exact" w:val="454"/>
          <w:tblHeader/>
          <w:jc w:val="center"/>
        </w:trPr>
        <w:tc>
          <w:tcPr>
            <w:tcW w:w="1295" w:type="dxa"/>
            <w:tcBorders>
              <w:left w:val="nil"/>
              <w:bottom w:val="doub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kern w:val="0"/>
                <w:sz w:val="18"/>
                <w:szCs w:val="18"/>
              </w:rPr>
            </w:pPr>
            <w:r>
              <w:rPr>
                <w:rFonts w:ascii="Times New Roman" w:eastAsia="宋体" w:hAnsi="Times New Roman" w:cs="Times New Roman"/>
                <w:b/>
                <w:bCs/>
                <w:kern w:val="0"/>
                <w:sz w:val="18"/>
                <w:szCs w:val="18"/>
              </w:rPr>
              <w:t>Total</w:t>
            </w:r>
          </w:p>
        </w:tc>
        <w:tc>
          <w:tcPr>
            <w:tcW w:w="1212" w:type="dxa"/>
            <w:tcBorders>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Arial Narrow"/>
                <w:b/>
                <w:bCs/>
                <w:color w:val="000000"/>
                <w:sz w:val="18"/>
                <w:szCs w:val="18"/>
              </w:rPr>
              <w:t>23,176,718.40</w:t>
            </w:r>
          </w:p>
        </w:tc>
        <w:tc>
          <w:tcPr>
            <w:tcW w:w="1256" w:type="dxa"/>
            <w:tcBorders>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Arial Narrow"/>
                <w:b/>
                <w:bCs/>
                <w:color w:val="000000"/>
                <w:sz w:val="18"/>
                <w:szCs w:val="18"/>
              </w:rPr>
              <w:t>-11,580,300.04</w:t>
            </w:r>
          </w:p>
        </w:tc>
        <w:tc>
          <w:tcPr>
            <w:tcW w:w="1155" w:type="dxa"/>
            <w:tcBorders>
              <w:bottom w:val="double" w:sz="4" w:space="0" w:color="auto"/>
            </w:tcBorders>
            <w:shd w:val="clear" w:color="auto" w:fill="auto"/>
            <w:vAlign w:val="center"/>
          </w:tcPr>
          <w:p w:rsidR="000B609E" w:rsidRDefault="00B220E1">
            <w:pPr>
              <w:spacing w:afterLines="0" w:after="0"/>
              <w:ind w:firstLine="360"/>
              <w:jc w:val="right"/>
              <w:textAlignment w:val="top"/>
              <w:rPr>
                <w:rFonts w:ascii="Arial Narrow" w:hAnsi="Arial Narrow" w:cs="Arial Narrow"/>
                <w:b/>
                <w:bCs/>
                <w:color w:val="000000"/>
                <w:sz w:val="18"/>
                <w:szCs w:val="18"/>
              </w:rPr>
            </w:pPr>
            <w:r>
              <w:rPr>
                <w:rFonts w:ascii="Arial Narrow" w:hAnsi="Arial Narrow" w:cs="Arial Narrow"/>
                <w:color w:val="000000"/>
                <w:sz w:val="18"/>
                <w:szCs w:val="18"/>
              </w:rPr>
              <w:t>-</w:t>
            </w:r>
          </w:p>
        </w:tc>
        <w:tc>
          <w:tcPr>
            <w:tcW w:w="1156" w:type="dxa"/>
            <w:tcBorders>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Arial Narrow"/>
                <w:b/>
                <w:bCs/>
                <w:color w:val="000000"/>
                <w:sz w:val="18"/>
                <w:szCs w:val="18"/>
              </w:rPr>
              <w:t>-2,895,075.01</w:t>
            </w:r>
          </w:p>
        </w:tc>
        <w:tc>
          <w:tcPr>
            <w:tcW w:w="1211" w:type="dxa"/>
            <w:tcBorders>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Arial Narrow"/>
                <w:b/>
                <w:bCs/>
                <w:color w:val="000000"/>
                <w:sz w:val="18"/>
                <w:szCs w:val="18"/>
              </w:rPr>
              <w:t>-8,685,225.03</w:t>
            </w:r>
          </w:p>
        </w:tc>
        <w:tc>
          <w:tcPr>
            <w:tcW w:w="845" w:type="dxa"/>
            <w:tcBorders>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Arial Narrow"/>
                <w:color w:val="000000"/>
                <w:sz w:val="18"/>
                <w:szCs w:val="18"/>
              </w:rPr>
              <w:t>-</w:t>
            </w:r>
          </w:p>
        </w:tc>
        <w:tc>
          <w:tcPr>
            <w:tcW w:w="1396" w:type="dxa"/>
            <w:tcBorders>
              <w:bottom w:val="double" w:sz="4" w:space="0" w:color="auto"/>
              <w:right w:val="nil"/>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18"/>
                <w:szCs w:val="18"/>
              </w:rPr>
            </w:pPr>
            <w:r>
              <w:rPr>
                <w:rFonts w:ascii="Arial Narrow" w:hAnsi="Arial Narrow" w:cs="Arial Narrow"/>
                <w:b/>
                <w:bCs/>
                <w:color w:val="000000"/>
                <w:sz w:val="18"/>
                <w:szCs w:val="18"/>
              </w:rPr>
              <w:t>14,491,493.37</w:t>
            </w:r>
          </w:p>
        </w:tc>
      </w:tr>
    </w:tbl>
    <w:p w:rsidR="000B609E" w:rsidRDefault="00B220E1">
      <w:pPr>
        <w:spacing w:beforeLines="50" w:before="156"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Note: Other comprehensive income - Others are equity method accounting for long-term equity investments, except for net profits or losses, changes in </w:t>
      </w:r>
      <w:proofErr w:type="gramStart"/>
      <w:r>
        <w:rPr>
          <w:rFonts w:ascii="Times New Roman" w:hAnsi="Times New Roman" w:cs="Times New Roman"/>
          <w:sz w:val="24"/>
          <w:szCs w:val="24"/>
        </w:rPr>
        <w:t>other</w:t>
      </w:r>
      <w:proofErr w:type="gramEnd"/>
      <w:r>
        <w:rPr>
          <w:rFonts w:ascii="Times New Roman" w:hAnsi="Times New Roman" w:cs="Times New Roman"/>
          <w:sz w:val="24"/>
          <w:szCs w:val="24"/>
        </w:rPr>
        <w:t xml:space="preserve"> owners' equity, the Group's share of shareholding.</w:t>
      </w:r>
    </w:p>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Surplus reserves</w:t>
      </w:r>
    </w:p>
    <w:tbl>
      <w:tblPr>
        <w:tblW w:w="9539" w:type="dxa"/>
        <w:tblInd w:w="-493" w:type="dxa"/>
        <w:tblLayout w:type="fixed"/>
        <w:tblLook w:val="04A0" w:firstRow="1" w:lastRow="0" w:firstColumn="1" w:lastColumn="0" w:noHBand="0" w:noVBand="1"/>
      </w:tblPr>
      <w:tblGrid>
        <w:gridCol w:w="2186"/>
        <w:gridCol w:w="1503"/>
        <w:gridCol w:w="1789"/>
        <w:gridCol w:w="1914"/>
        <w:gridCol w:w="2147"/>
      </w:tblGrid>
      <w:tr w:rsidR="000B609E">
        <w:trPr>
          <w:trHeight w:val="300"/>
          <w:tblHeader/>
        </w:trPr>
        <w:tc>
          <w:tcPr>
            <w:tcW w:w="2186"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7353" w:type="dxa"/>
            <w:gridSpan w:val="4"/>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val="270"/>
          <w:tblHeader/>
        </w:trPr>
        <w:tc>
          <w:tcPr>
            <w:tcW w:w="2186"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5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Beginning balance</w:t>
            </w:r>
          </w:p>
        </w:tc>
        <w:tc>
          <w:tcPr>
            <w:tcW w:w="178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Increase</w:t>
            </w:r>
            <w:r>
              <w:rPr>
                <w:rFonts w:ascii="Times New Roman" w:eastAsia="宋体" w:hAnsi="Times New Roman" w:cs="Times New Roman" w:hint="eastAsia"/>
                <w:b/>
                <w:bCs/>
                <w:color w:val="000000"/>
                <w:kern w:val="0"/>
                <w:sz w:val="18"/>
                <w:szCs w:val="18"/>
              </w:rPr>
              <w:t xml:space="preserve"> in current year</w:t>
            </w:r>
          </w:p>
        </w:tc>
        <w:tc>
          <w:tcPr>
            <w:tcW w:w="191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Decrease</w:t>
            </w:r>
            <w:r>
              <w:rPr>
                <w:rFonts w:ascii="Times New Roman" w:eastAsia="宋体" w:hAnsi="Times New Roman" w:cs="Times New Roman" w:hint="eastAsia"/>
                <w:b/>
                <w:bCs/>
                <w:color w:val="000000"/>
                <w:kern w:val="0"/>
                <w:sz w:val="18"/>
                <w:szCs w:val="18"/>
              </w:rPr>
              <w:t xml:space="preserve"> in current year</w:t>
            </w:r>
          </w:p>
        </w:tc>
        <w:tc>
          <w:tcPr>
            <w:tcW w:w="2147"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Ending balance</w:t>
            </w:r>
          </w:p>
        </w:tc>
      </w:tr>
      <w:tr w:rsidR="000B609E">
        <w:trPr>
          <w:trHeight w:hRule="exact" w:val="693"/>
        </w:trPr>
        <w:tc>
          <w:tcPr>
            <w:tcW w:w="218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Statutory reserve</w:t>
            </w:r>
          </w:p>
        </w:tc>
        <w:tc>
          <w:tcPr>
            <w:tcW w:w="15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 xml:space="preserve"> 273,388,867.10 </w:t>
            </w:r>
          </w:p>
        </w:tc>
        <w:tc>
          <w:tcPr>
            <w:tcW w:w="178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48,278,711.02</w:t>
            </w:r>
          </w:p>
        </w:tc>
        <w:tc>
          <w:tcPr>
            <w:tcW w:w="191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w:t>
            </w:r>
          </w:p>
        </w:tc>
        <w:tc>
          <w:tcPr>
            <w:tcW w:w="2147"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321,667,578.12</w:t>
            </w:r>
          </w:p>
        </w:tc>
      </w:tr>
      <w:tr w:rsidR="000B609E">
        <w:trPr>
          <w:trHeight w:hRule="exact" w:val="454"/>
        </w:trPr>
        <w:tc>
          <w:tcPr>
            <w:tcW w:w="218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Discretionary reserve</w:t>
            </w:r>
          </w:p>
        </w:tc>
        <w:tc>
          <w:tcPr>
            <w:tcW w:w="15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 xml:space="preserve"> 413,476,960.40 </w:t>
            </w:r>
          </w:p>
        </w:tc>
        <w:tc>
          <w:tcPr>
            <w:tcW w:w="178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w:t>
            </w:r>
          </w:p>
        </w:tc>
        <w:tc>
          <w:tcPr>
            <w:tcW w:w="191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w:t>
            </w:r>
          </w:p>
        </w:tc>
        <w:tc>
          <w:tcPr>
            <w:tcW w:w="2147"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413,476,960.40</w:t>
            </w:r>
          </w:p>
        </w:tc>
      </w:tr>
      <w:tr w:rsidR="000B609E">
        <w:trPr>
          <w:trHeight w:hRule="exact" w:val="454"/>
        </w:trPr>
        <w:tc>
          <w:tcPr>
            <w:tcW w:w="2186"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lastRenderedPageBreak/>
              <w:t>Total</w:t>
            </w:r>
          </w:p>
        </w:tc>
        <w:tc>
          <w:tcPr>
            <w:tcW w:w="1503"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hint="eastAsia"/>
                <w:b/>
                <w:bCs/>
                <w:sz w:val="20"/>
                <w:szCs w:val="20"/>
              </w:rPr>
              <w:t xml:space="preserve"> 686,865,827.50 </w:t>
            </w:r>
          </w:p>
        </w:tc>
        <w:tc>
          <w:tcPr>
            <w:tcW w:w="1789"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48,278,711.02</w:t>
            </w:r>
          </w:p>
        </w:tc>
        <w:tc>
          <w:tcPr>
            <w:tcW w:w="191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hint="eastAsia"/>
                <w:sz w:val="20"/>
                <w:szCs w:val="20"/>
              </w:rPr>
              <w:t>-</w:t>
            </w:r>
          </w:p>
        </w:tc>
        <w:tc>
          <w:tcPr>
            <w:tcW w:w="2147"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735,144,538.52</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General risk reserve</w:t>
      </w:r>
    </w:p>
    <w:tbl>
      <w:tblPr>
        <w:tblW w:w="9516" w:type="dxa"/>
        <w:tblInd w:w="-482" w:type="dxa"/>
        <w:tblLayout w:type="fixed"/>
        <w:tblLook w:val="04A0" w:firstRow="1" w:lastRow="0" w:firstColumn="1" w:lastColumn="0" w:noHBand="0" w:noVBand="1"/>
      </w:tblPr>
      <w:tblGrid>
        <w:gridCol w:w="2106"/>
        <w:gridCol w:w="1797"/>
        <w:gridCol w:w="1937"/>
        <w:gridCol w:w="1555"/>
        <w:gridCol w:w="2121"/>
      </w:tblGrid>
      <w:tr w:rsidR="000B609E">
        <w:trPr>
          <w:trHeight w:val="349"/>
          <w:tblHeader/>
        </w:trPr>
        <w:tc>
          <w:tcPr>
            <w:tcW w:w="2106"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7410" w:type="dxa"/>
            <w:gridSpan w:val="4"/>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r>
              <w:rPr>
                <w:rFonts w:ascii="Times New Roman" w:eastAsia="宋体" w:hAnsi="Times New Roman" w:cs="Times New Roman"/>
                <w:b/>
                <w:bCs/>
                <w:color w:val="000000"/>
                <w:kern w:val="0"/>
                <w:sz w:val="18"/>
                <w:szCs w:val="18"/>
              </w:rPr>
              <w:t>-12-31</w:t>
            </w:r>
          </w:p>
        </w:tc>
      </w:tr>
      <w:tr w:rsidR="000B609E">
        <w:trPr>
          <w:trHeight w:val="314"/>
          <w:tblHeader/>
        </w:trPr>
        <w:tc>
          <w:tcPr>
            <w:tcW w:w="2106"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79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Beginning balance</w:t>
            </w:r>
          </w:p>
        </w:tc>
        <w:tc>
          <w:tcPr>
            <w:tcW w:w="19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hAnsi="Times New Roman" w:cs="Times New Roman"/>
                <w:b/>
                <w:sz w:val="18"/>
                <w:szCs w:val="18"/>
              </w:rPr>
            </w:pPr>
            <w:r>
              <w:rPr>
                <w:rFonts w:ascii="Times New Roman" w:hAnsi="Times New Roman" w:cs="Times New Roman"/>
                <w:b/>
                <w:sz w:val="18"/>
                <w:szCs w:val="18"/>
              </w:rPr>
              <w:t>Increase in current year</w:t>
            </w:r>
          </w:p>
        </w:tc>
        <w:tc>
          <w:tcPr>
            <w:tcW w:w="155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hAnsi="Times New Roman" w:cs="Times New Roman"/>
                <w:b/>
                <w:sz w:val="18"/>
                <w:szCs w:val="18"/>
              </w:rPr>
            </w:pPr>
            <w:r>
              <w:rPr>
                <w:rFonts w:ascii="Times New Roman" w:hAnsi="Times New Roman" w:cs="Times New Roman"/>
                <w:b/>
                <w:sz w:val="18"/>
                <w:szCs w:val="18"/>
              </w:rPr>
              <w:t>Decrease in</w:t>
            </w:r>
            <w:r>
              <w:rPr>
                <w:rFonts w:ascii="Times New Roman" w:hAnsi="Times New Roman" w:cs="Times New Roman" w:hint="eastAsia"/>
                <w:b/>
                <w:sz w:val="18"/>
                <w:szCs w:val="18"/>
              </w:rPr>
              <w:t xml:space="preserve"> </w:t>
            </w:r>
            <w:r>
              <w:rPr>
                <w:rFonts w:ascii="Times New Roman" w:hAnsi="Times New Roman" w:cs="Times New Roman"/>
                <w:b/>
                <w:sz w:val="18"/>
                <w:szCs w:val="18"/>
              </w:rPr>
              <w:t>current year</w:t>
            </w:r>
          </w:p>
        </w:tc>
        <w:tc>
          <w:tcPr>
            <w:tcW w:w="212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Ending balance</w:t>
            </w:r>
          </w:p>
        </w:tc>
      </w:tr>
      <w:tr w:rsidR="000B609E">
        <w:trPr>
          <w:trHeight w:hRule="exact" w:val="657"/>
        </w:trPr>
        <w:tc>
          <w:tcPr>
            <w:tcW w:w="210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General risk reserve</w:t>
            </w:r>
          </w:p>
        </w:tc>
        <w:tc>
          <w:tcPr>
            <w:tcW w:w="179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hint="eastAsia"/>
                <w:bCs/>
                <w:color w:val="000000"/>
                <w:sz w:val="20"/>
                <w:szCs w:val="20"/>
              </w:rPr>
              <w:t xml:space="preserve"> 999,313,365.99 </w:t>
            </w:r>
          </w:p>
        </w:tc>
        <w:tc>
          <w:tcPr>
            <w:tcW w:w="19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bCs/>
                <w:color w:val="000000"/>
                <w:sz w:val="20"/>
                <w:szCs w:val="20"/>
              </w:rPr>
              <w:t>236,343,560.10</w:t>
            </w:r>
          </w:p>
        </w:tc>
        <w:tc>
          <w:tcPr>
            <w:tcW w:w="155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w:t>
            </w:r>
          </w:p>
        </w:tc>
        <w:tc>
          <w:tcPr>
            <w:tcW w:w="2121"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bCs/>
                <w:color w:val="000000"/>
                <w:sz w:val="20"/>
                <w:szCs w:val="20"/>
              </w:rPr>
              <w:t>1,235,656,926.09</w:t>
            </w:r>
          </w:p>
        </w:tc>
      </w:tr>
      <w:tr w:rsidR="000B609E">
        <w:trPr>
          <w:trHeight w:hRule="exact" w:val="454"/>
        </w:trPr>
        <w:tc>
          <w:tcPr>
            <w:tcW w:w="2106" w:type="dxa"/>
            <w:tcBorders>
              <w:top w:val="nil"/>
              <w:bottom w:val="double" w:sz="4" w:space="0" w:color="auto"/>
              <w:right w:val="single" w:sz="4" w:space="0" w:color="auto"/>
            </w:tcBorders>
            <w:shd w:val="clear" w:color="auto" w:fill="auto"/>
            <w:vAlign w:val="bottom"/>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797"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hint="eastAsia"/>
                <w:b/>
                <w:color w:val="000000"/>
                <w:sz w:val="20"/>
                <w:szCs w:val="20"/>
              </w:rPr>
              <w:t xml:space="preserve"> 999,313,365.99 </w:t>
            </w:r>
          </w:p>
        </w:tc>
        <w:tc>
          <w:tcPr>
            <w:tcW w:w="1937"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236,343,560.10</w:t>
            </w:r>
          </w:p>
        </w:tc>
        <w:tc>
          <w:tcPr>
            <w:tcW w:w="1555"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hint="eastAsia"/>
                <w:sz w:val="20"/>
                <w:szCs w:val="20"/>
              </w:rPr>
              <w:t>-</w:t>
            </w:r>
          </w:p>
        </w:tc>
        <w:tc>
          <w:tcPr>
            <w:tcW w:w="2121"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color w:val="000000"/>
                <w:sz w:val="20"/>
                <w:szCs w:val="20"/>
              </w:rPr>
              <w:t>1,235,656,926.09</w:t>
            </w:r>
          </w:p>
        </w:tc>
      </w:tr>
    </w:tbl>
    <w:p w:rsidR="000B609E" w:rsidRDefault="00B220E1">
      <w:pPr>
        <w:spacing w:beforeLines="50" w:before="156"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Note: </w:t>
      </w:r>
      <w:r>
        <w:rPr>
          <w:rFonts w:ascii="Times New Roman" w:hAnsi="Times New Roman" w:cs="Times New Roman" w:hint="eastAsia"/>
          <w:sz w:val="24"/>
          <w:szCs w:val="24"/>
        </w:rPr>
        <w:t>In addition to drawing</w:t>
      </w:r>
      <w:r>
        <w:t xml:space="preserve"> </w:t>
      </w:r>
      <w:r>
        <w:rPr>
          <w:rFonts w:ascii="Times New Roman" w:hAnsi="Times New Roman" w:cs="Times New Roman"/>
          <w:sz w:val="24"/>
          <w:szCs w:val="24"/>
        </w:rPr>
        <w:t>impairment provision for assets</w:t>
      </w:r>
      <w:r>
        <w:rPr>
          <w:rFonts w:ascii="Times New Roman" w:hAnsi="Times New Roman" w:cs="Times New Roman" w:hint="eastAsia"/>
          <w:sz w:val="24"/>
          <w:szCs w:val="24"/>
        </w:rPr>
        <w:t xml:space="preserve"> on the basis of</w:t>
      </w:r>
      <w:r>
        <w:rPr>
          <w:rFonts w:ascii="Times New Roman" w:hAnsi="Times New Roman" w:cs="Times New Roman"/>
          <w:sz w:val="24"/>
          <w:szCs w:val="24"/>
        </w:rPr>
        <w:t xml:space="preserve"> the</w:t>
      </w:r>
      <w:r>
        <w:rPr>
          <w:rFonts w:ascii="Times New Roman" w:hAnsi="Times New Roman" w:cs="Times New Roman" w:hint="eastAsia"/>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Notice</w:t>
      </w:r>
      <w:r>
        <w:t xml:space="preserve"> </w:t>
      </w:r>
      <w:r>
        <w:rPr>
          <w:rFonts w:ascii="Times New Roman" w:hAnsi="Times New Roman" w:cs="Times New Roman"/>
          <w:sz w:val="24"/>
          <w:szCs w:val="24"/>
        </w:rPr>
        <w:t>of the Ministry of Finance on Issuing Administrative Measures for Provision of Financial Enterprises Provisions” (</w:t>
      </w:r>
      <w:r>
        <w:rPr>
          <w:rFonts w:ascii="Times New Roman" w:hAnsi="Times New Roman" w:cs="Times New Roman" w:hint="eastAsia"/>
          <w:sz w:val="24"/>
          <w:szCs w:val="24"/>
        </w:rPr>
        <w:t>CJ</w:t>
      </w:r>
      <w:r>
        <w:rPr>
          <w:rFonts w:ascii="Times New Roman" w:hAnsi="Times New Roman" w:cs="Times New Roman"/>
          <w:sz w:val="24"/>
          <w:szCs w:val="24"/>
        </w:rPr>
        <w:t xml:space="preserve"> [2012] No. 20)</w:t>
      </w:r>
      <w:r>
        <w:rPr>
          <w:rFonts w:ascii="Times New Roman" w:hAnsi="Times New Roman" w:cs="Times New Roman" w:hint="eastAsia"/>
          <w:sz w:val="24"/>
          <w:szCs w:val="24"/>
        </w:rPr>
        <w:t xml:space="preserve">, </w:t>
      </w:r>
      <w:r>
        <w:rPr>
          <w:rFonts w:ascii="Times New Roman" w:hAnsi="Times New Roman" w:cs="Times New Roman"/>
          <w:sz w:val="24"/>
          <w:szCs w:val="24"/>
        </w:rPr>
        <w:t>a general risk reserve is established to cover the bank unrecognized potential losses associated with risky assets. This general risk reserve is treated as a profit distribution and is an integral part of the owner's equity.</w:t>
      </w:r>
    </w:p>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Retained earnings</w:t>
      </w:r>
    </w:p>
    <w:tbl>
      <w:tblPr>
        <w:tblW w:w="9516" w:type="dxa"/>
        <w:tblInd w:w="-482"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3461"/>
        <w:gridCol w:w="2615"/>
        <w:gridCol w:w="3440"/>
      </w:tblGrid>
      <w:tr w:rsidR="000B609E">
        <w:trPr>
          <w:trHeight w:val="300"/>
          <w:tblHeader/>
        </w:trPr>
        <w:tc>
          <w:tcPr>
            <w:tcW w:w="3461"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Items</w:t>
            </w:r>
          </w:p>
        </w:tc>
        <w:tc>
          <w:tcPr>
            <w:tcW w:w="2615"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20</w:t>
            </w:r>
            <w:r>
              <w:rPr>
                <w:rFonts w:ascii="Times New Roman" w:eastAsia="宋体" w:hAnsi="Times New Roman" w:cs="Times New Roman" w:hint="eastAsia"/>
                <w:b/>
                <w:bCs/>
                <w:kern w:val="0"/>
                <w:sz w:val="18"/>
                <w:szCs w:val="18"/>
              </w:rPr>
              <w:t>20</w:t>
            </w:r>
            <w:r>
              <w:rPr>
                <w:rFonts w:ascii="Times New Roman" w:eastAsia="宋体" w:hAnsi="Times New Roman" w:cs="Times New Roman"/>
                <w:b/>
                <w:bCs/>
                <w:kern w:val="0"/>
                <w:sz w:val="18"/>
                <w:szCs w:val="18"/>
              </w:rPr>
              <w:t>-12-31</w:t>
            </w:r>
          </w:p>
        </w:tc>
        <w:tc>
          <w:tcPr>
            <w:tcW w:w="3440" w:type="dxa"/>
            <w:shd w:val="clear" w:color="auto" w:fill="auto"/>
            <w:vAlign w:val="center"/>
          </w:tcPr>
          <w:p w:rsidR="000B609E" w:rsidRDefault="00B220E1">
            <w:pPr>
              <w:spacing w:afterLines="0" w:after="0"/>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201</w:t>
            </w:r>
            <w:r>
              <w:rPr>
                <w:rFonts w:ascii="Times New Roman" w:eastAsia="宋体" w:hAnsi="Times New Roman" w:cs="Times New Roman" w:hint="eastAsia"/>
                <w:b/>
                <w:bCs/>
                <w:kern w:val="0"/>
                <w:sz w:val="18"/>
                <w:szCs w:val="18"/>
              </w:rPr>
              <w:t>9</w:t>
            </w:r>
            <w:r>
              <w:rPr>
                <w:rFonts w:ascii="Times New Roman" w:eastAsia="宋体" w:hAnsi="Times New Roman" w:cs="Times New Roman"/>
                <w:b/>
                <w:bCs/>
                <w:kern w:val="0"/>
                <w:sz w:val="18"/>
                <w:szCs w:val="18"/>
              </w:rPr>
              <w:t>-12-31</w:t>
            </w:r>
          </w:p>
        </w:tc>
      </w:tr>
      <w:tr w:rsidR="000B609E">
        <w:trPr>
          <w:trHeight w:hRule="exact" w:val="454"/>
        </w:trPr>
        <w:tc>
          <w:tcPr>
            <w:tcW w:w="3461" w:type="dxa"/>
            <w:shd w:val="clear" w:color="auto" w:fill="auto"/>
            <w:vAlign w:val="center"/>
          </w:tcPr>
          <w:p w:rsidR="000B609E" w:rsidRDefault="00B220E1">
            <w:pPr>
              <w:spacing w:afterLines="0" w:after="0"/>
              <w:ind w:firstLineChars="0" w:firstLine="0"/>
              <w:rPr>
                <w:rFonts w:ascii="Times New Roman" w:eastAsia="宋体" w:hAnsi="Times New Roman" w:cs="Times New Roman"/>
                <w:bCs/>
                <w:color w:val="000000"/>
                <w:kern w:val="0"/>
                <w:sz w:val="18"/>
                <w:szCs w:val="18"/>
              </w:rPr>
            </w:pPr>
            <w:r>
              <w:rPr>
                <w:rFonts w:ascii="Times New Roman" w:eastAsia="宋体" w:hAnsi="Times New Roman" w:cs="Times New Roman"/>
                <w:bCs/>
                <w:color w:val="000000"/>
                <w:kern w:val="0"/>
                <w:sz w:val="18"/>
                <w:szCs w:val="18"/>
              </w:rPr>
              <w:t>Beginning balance</w:t>
            </w:r>
          </w:p>
        </w:tc>
        <w:tc>
          <w:tcPr>
            <w:tcW w:w="2615" w:type="dxa"/>
            <w:shd w:val="clear" w:color="auto" w:fill="auto"/>
            <w:vAlign w:val="center"/>
          </w:tcPr>
          <w:p w:rsidR="000B609E" w:rsidRPr="00547100" w:rsidRDefault="00B220E1">
            <w:pPr>
              <w:spacing w:afterLines="0" w:after="0"/>
              <w:ind w:firstLineChars="0" w:firstLine="0"/>
              <w:jc w:val="right"/>
              <w:rPr>
                <w:rFonts w:ascii="Arial Narrow" w:eastAsia="宋体" w:hAnsi="Arial Narrow" w:cs="Arial Narrow"/>
                <w:snapToGrid w:val="0"/>
                <w:kern w:val="0"/>
                <w:sz w:val="20"/>
                <w:szCs w:val="20"/>
              </w:rPr>
            </w:pPr>
            <w:r w:rsidRPr="00547100">
              <w:rPr>
                <w:rFonts w:ascii="Arial Narrow" w:hAnsi="Arial Narrow" w:hint="eastAsia"/>
                <w:bCs/>
                <w:sz w:val="20"/>
                <w:szCs w:val="20"/>
              </w:rPr>
              <w:t xml:space="preserve"> 145,170,471.04</w:t>
            </w:r>
            <w:r w:rsidRPr="00547100">
              <w:rPr>
                <w:rFonts w:ascii="Arial Narrow" w:hAnsi="Arial Narrow" w:cs="Calibri" w:hint="eastAsia"/>
                <w:color w:val="000000"/>
                <w:sz w:val="20"/>
                <w:szCs w:val="20"/>
              </w:rPr>
              <w:t xml:space="preserve"> </w:t>
            </w:r>
          </w:p>
        </w:tc>
        <w:tc>
          <w:tcPr>
            <w:tcW w:w="3440" w:type="dxa"/>
            <w:shd w:val="clear" w:color="auto" w:fill="auto"/>
            <w:vAlign w:val="center"/>
          </w:tcPr>
          <w:p w:rsidR="000B609E" w:rsidRPr="00547100" w:rsidRDefault="00B220E1">
            <w:pPr>
              <w:spacing w:afterLines="0" w:after="0"/>
              <w:ind w:firstLineChars="0" w:firstLine="0"/>
              <w:jc w:val="right"/>
              <w:rPr>
                <w:rFonts w:ascii="Arial Narrow" w:eastAsia="宋体" w:hAnsi="Arial Narrow" w:cs="Arial Narrow"/>
                <w:snapToGrid w:val="0"/>
                <w:kern w:val="0"/>
                <w:sz w:val="20"/>
                <w:szCs w:val="20"/>
              </w:rPr>
            </w:pPr>
            <w:r w:rsidRPr="00547100">
              <w:rPr>
                <w:rFonts w:ascii="Arial Narrow" w:eastAsia="宋体" w:hAnsi="Arial Narrow" w:cs="Arial Narrow" w:hint="eastAsia"/>
                <w:snapToGrid w:val="0"/>
                <w:kern w:val="0"/>
                <w:sz w:val="20"/>
                <w:szCs w:val="20"/>
              </w:rPr>
              <w:t xml:space="preserve"> 177,023,882.39 </w:t>
            </w:r>
          </w:p>
        </w:tc>
      </w:tr>
      <w:tr w:rsidR="000B609E">
        <w:trPr>
          <w:trHeight w:hRule="exact" w:val="907"/>
        </w:trPr>
        <w:tc>
          <w:tcPr>
            <w:tcW w:w="3461"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 xml:space="preserve">Add: </w:t>
            </w:r>
            <w:r>
              <w:rPr>
                <w:rFonts w:ascii="Times New Roman" w:eastAsia="宋体" w:hAnsi="Times New Roman" w:cs="Times New Roman" w:hint="eastAsia"/>
                <w:color w:val="000000"/>
                <w:kern w:val="0"/>
                <w:sz w:val="18"/>
                <w:szCs w:val="18"/>
              </w:rPr>
              <w:t xml:space="preserve">The impacts </w:t>
            </w:r>
            <w:proofErr w:type="gramStart"/>
            <w:r>
              <w:rPr>
                <w:rFonts w:ascii="Times New Roman" w:eastAsia="宋体" w:hAnsi="Times New Roman" w:cs="Times New Roman" w:hint="eastAsia"/>
                <w:color w:val="000000"/>
                <w:kern w:val="0"/>
                <w:sz w:val="18"/>
                <w:szCs w:val="18"/>
              </w:rPr>
              <w:t>of  New</w:t>
            </w:r>
            <w:proofErr w:type="gramEnd"/>
            <w:r>
              <w:rPr>
                <w:rFonts w:ascii="Times New Roman" w:eastAsia="宋体" w:hAnsi="Times New Roman" w:cs="Times New Roman" w:hint="eastAsia"/>
                <w:color w:val="000000"/>
                <w:kern w:val="0"/>
                <w:sz w:val="18"/>
                <w:szCs w:val="18"/>
              </w:rPr>
              <w:t xml:space="preserve"> guidelines for financial instruments</w:t>
            </w:r>
            <w:r>
              <w:rPr>
                <w:rFonts w:ascii="Times New Roman" w:eastAsia="宋体" w:hAnsi="Times New Roman" w:cs="Times New Roman"/>
                <w:color w:val="000000"/>
                <w:kern w:val="0"/>
                <w:sz w:val="18"/>
                <w:szCs w:val="18"/>
              </w:rPr>
              <w:t>’</w:t>
            </w:r>
            <w:r>
              <w:rPr>
                <w:rFonts w:ascii="Times New Roman" w:eastAsia="宋体" w:hAnsi="Times New Roman" w:cs="Times New Roman" w:hint="eastAsia"/>
                <w:color w:val="000000"/>
                <w:kern w:val="0"/>
                <w:sz w:val="18"/>
                <w:szCs w:val="18"/>
              </w:rPr>
              <w:t xml:space="preserve"> Initial execution</w:t>
            </w:r>
          </w:p>
        </w:tc>
        <w:tc>
          <w:tcPr>
            <w:tcW w:w="2615" w:type="dxa"/>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34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-4,666,459.20 </w:t>
            </w:r>
          </w:p>
        </w:tc>
      </w:tr>
      <w:tr w:rsidR="000B609E">
        <w:trPr>
          <w:trHeight w:hRule="exact" w:val="454"/>
        </w:trPr>
        <w:tc>
          <w:tcPr>
            <w:tcW w:w="3461"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Adjusted beginning balance</w:t>
            </w:r>
          </w:p>
        </w:tc>
        <w:tc>
          <w:tcPr>
            <w:tcW w:w="2615"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145,170,471.04</w:t>
            </w:r>
          </w:p>
        </w:tc>
        <w:tc>
          <w:tcPr>
            <w:tcW w:w="34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172,357,423.19 </w:t>
            </w:r>
          </w:p>
        </w:tc>
      </w:tr>
      <w:tr w:rsidR="000B609E">
        <w:trPr>
          <w:trHeight w:hRule="exact" w:val="454"/>
        </w:trPr>
        <w:tc>
          <w:tcPr>
            <w:tcW w:w="3461"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Net profit</w:t>
            </w:r>
          </w:p>
        </w:tc>
        <w:tc>
          <w:tcPr>
            <w:tcW w:w="2615"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217,471,739.59</w:t>
            </w:r>
          </w:p>
        </w:tc>
        <w:tc>
          <w:tcPr>
            <w:tcW w:w="34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278,555,670.80 </w:t>
            </w:r>
          </w:p>
        </w:tc>
      </w:tr>
      <w:tr w:rsidR="000B609E">
        <w:trPr>
          <w:trHeight w:hRule="exact" w:val="454"/>
        </w:trPr>
        <w:tc>
          <w:tcPr>
            <w:tcW w:w="3461"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Minus</w:t>
            </w:r>
            <w:r>
              <w:rPr>
                <w:rFonts w:ascii="Times New Roman" w:eastAsia="宋体" w:hAnsi="Times New Roman" w:cs="Times New Roman"/>
                <w:color w:val="000000"/>
                <w:kern w:val="0"/>
                <w:sz w:val="18"/>
                <w:szCs w:val="18"/>
              </w:rPr>
              <w:t>：</w:t>
            </w:r>
            <w:r>
              <w:rPr>
                <w:rFonts w:ascii="Times New Roman" w:eastAsia="宋体" w:hAnsi="Times New Roman" w:cs="Times New Roman"/>
                <w:color w:val="000000"/>
                <w:kern w:val="0"/>
                <w:sz w:val="18"/>
                <w:szCs w:val="18"/>
              </w:rPr>
              <w:t>Statutory reserve</w:t>
            </w:r>
          </w:p>
        </w:tc>
        <w:tc>
          <w:tcPr>
            <w:tcW w:w="2615"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48,278,711.02</w:t>
            </w:r>
          </w:p>
        </w:tc>
        <w:tc>
          <w:tcPr>
            <w:tcW w:w="34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55,747,008.74 </w:t>
            </w:r>
          </w:p>
        </w:tc>
      </w:tr>
      <w:tr w:rsidR="000B609E">
        <w:trPr>
          <w:trHeight w:hRule="exact" w:val="454"/>
        </w:trPr>
        <w:tc>
          <w:tcPr>
            <w:tcW w:w="3461"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-Discretionary reserve</w:t>
            </w:r>
          </w:p>
        </w:tc>
        <w:tc>
          <w:tcPr>
            <w:tcW w:w="2615"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 xml:space="preserve">-   </w:t>
            </w:r>
          </w:p>
        </w:tc>
        <w:tc>
          <w:tcPr>
            <w:tcW w:w="34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55,554,580.93 </w:t>
            </w:r>
          </w:p>
        </w:tc>
      </w:tr>
      <w:tr w:rsidR="000B609E">
        <w:trPr>
          <w:trHeight w:hRule="exact" w:val="454"/>
        </w:trPr>
        <w:tc>
          <w:tcPr>
            <w:tcW w:w="3461"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-General risk reserve</w:t>
            </w:r>
          </w:p>
        </w:tc>
        <w:tc>
          <w:tcPr>
            <w:tcW w:w="2615"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236,343,560.10</w:t>
            </w:r>
          </w:p>
        </w:tc>
        <w:tc>
          <w:tcPr>
            <w:tcW w:w="34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130,441,033.28 </w:t>
            </w:r>
          </w:p>
        </w:tc>
      </w:tr>
      <w:tr w:rsidR="000B609E">
        <w:trPr>
          <w:trHeight w:hRule="exact" w:val="454"/>
        </w:trPr>
        <w:tc>
          <w:tcPr>
            <w:tcW w:w="3461"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-Ordinary dividend payable</w:t>
            </w:r>
          </w:p>
        </w:tc>
        <w:tc>
          <w:tcPr>
            <w:tcW w:w="2615"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 xml:space="preserve">-   </w:t>
            </w:r>
          </w:p>
        </w:tc>
        <w:tc>
          <w:tcPr>
            <w:tcW w:w="34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64,000,000.00 </w:t>
            </w:r>
          </w:p>
        </w:tc>
      </w:tr>
      <w:tr w:rsidR="000B609E">
        <w:trPr>
          <w:trHeight w:hRule="exact" w:val="907"/>
        </w:trPr>
        <w:tc>
          <w:tcPr>
            <w:tcW w:w="3461" w:type="dxa"/>
            <w:shd w:val="clear" w:color="auto" w:fill="auto"/>
            <w:vAlign w:val="center"/>
          </w:tcPr>
          <w:p w:rsidR="000B609E" w:rsidRDefault="00B220E1">
            <w:pPr>
              <w:spacing w:afterLines="0" w:after="0"/>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lastRenderedPageBreak/>
              <w:t>-Ordinary dividend transferred to share capital</w:t>
            </w:r>
          </w:p>
        </w:tc>
        <w:tc>
          <w:tcPr>
            <w:tcW w:w="2615" w:type="dxa"/>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3440" w:type="dxa"/>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r>
      <w:tr w:rsidR="000B609E">
        <w:trPr>
          <w:trHeight w:hRule="exact" w:val="616"/>
        </w:trPr>
        <w:tc>
          <w:tcPr>
            <w:tcW w:w="3461" w:type="dxa"/>
            <w:shd w:val="clear" w:color="auto" w:fill="auto"/>
            <w:vAlign w:val="center"/>
          </w:tcPr>
          <w:p w:rsidR="000B609E" w:rsidRDefault="00B220E1">
            <w:pPr>
              <w:spacing w:afterLines="0" w:after="0"/>
              <w:ind w:firstLine="361"/>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Ending balance</w:t>
            </w:r>
          </w:p>
        </w:tc>
        <w:tc>
          <w:tcPr>
            <w:tcW w:w="2615" w:type="dxa"/>
            <w:shd w:val="clear" w:color="auto" w:fill="auto"/>
            <w:vAlign w:val="center"/>
          </w:tcPr>
          <w:p w:rsidR="000B609E" w:rsidRDefault="00B220E1" w:rsidP="004C77FA">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78,019,939.51 </w:t>
            </w:r>
          </w:p>
        </w:tc>
        <w:tc>
          <w:tcPr>
            <w:tcW w:w="3440"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145,170,471.04 </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Net interest income</w:t>
      </w:r>
    </w:p>
    <w:tbl>
      <w:tblPr>
        <w:tblW w:w="9485" w:type="dxa"/>
        <w:tblInd w:w="-493" w:type="dxa"/>
        <w:tblLayout w:type="fixed"/>
        <w:tblLook w:val="04A0" w:firstRow="1" w:lastRow="0" w:firstColumn="1" w:lastColumn="0" w:noHBand="0" w:noVBand="1"/>
      </w:tblPr>
      <w:tblGrid>
        <w:gridCol w:w="2162"/>
        <w:gridCol w:w="1737"/>
        <w:gridCol w:w="1985"/>
        <w:gridCol w:w="1843"/>
        <w:gridCol w:w="1758"/>
      </w:tblGrid>
      <w:tr w:rsidR="000B609E">
        <w:trPr>
          <w:trHeight w:val="287"/>
          <w:tblHeader/>
        </w:trPr>
        <w:tc>
          <w:tcPr>
            <w:tcW w:w="2162"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722" w:type="dxa"/>
            <w:gridSpan w:val="2"/>
            <w:tcBorders>
              <w:top w:val="double" w:sz="4" w:space="0" w:color="auto"/>
              <w:left w:val="nil"/>
              <w:bottom w:val="single" w:sz="4" w:space="0" w:color="auto"/>
              <w:right w:val="nil"/>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601" w:type="dxa"/>
            <w:gridSpan w:val="2"/>
            <w:tcBorders>
              <w:top w:val="double" w:sz="4" w:space="0" w:color="auto"/>
              <w:left w:val="single" w:sz="4" w:space="0" w:color="auto"/>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19"/>
          <w:tblHeader/>
        </w:trPr>
        <w:tc>
          <w:tcPr>
            <w:tcW w:w="2162"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0B609E">
        <w:trPr>
          <w:trHeight w:hRule="exact" w:val="454"/>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b/>
                <w:iCs/>
                <w:kern w:val="0"/>
                <w:sz w:val="18"/>
                <w:szCs w:val="18"/>
              </w:rPr>
            </w:pPr>
            <w:r>
              <w:rPr>
                <w:rFonts w:ascii="Times New Roman" w:eastAsia="宋体" w:hAnsi="Times New Roman" w:cs="Times New Roman"/>
                <w:b/>
                <w:iCs/>
                <w:kern w:val="0"/>
                <w:sz w:val="18"/>
                <w:szCs w:val="18"/>
              </w:rPr>
              <w:t>Interest income</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1,565,008,374.56</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1,553,670,423.89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1,533,346,335.72</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1,522,521,914.43 </w:t>
            </w:r>
          </w:p>
        </w:tc>
      </w:tr>
      <w:tr w:rsidR="000B609E">
        <w:trPr>
          <w:trHeight w:hRule="exact" w:val="907"/>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-Due from banks and other financial institutions</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58,895,343.39</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113,458,922.83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58,164,283.88</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111,444,507.44 </w:t>
            </w:r>
          </w:p>
        </w:tc>
      </w:tr>
      <w:tr w:rsidR="000B609E">
        <w:trPr>
          <w:trHeight w:hRule="exact" w:val="907"/>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-Balance with the central bank</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44,253,428.66</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50,915,609.15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43,673,293.65</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50,256,543.48 </w:t>
            </w:r>
          </w:p>
        </w:tc>
      </w:tr>
      <w:tr w:rsidR="000B609E">
        <w:trPr>
          <w:trHeight w:hRule="exact" w:val="1361"/>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-Lending to Banks and Other Financial Institutions</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47,649,545.28</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92,913,349.51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47,649,545.28</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92,913,349.51 </w:t>
            </w:r>
          </w:p>
        </w:tc>
      </w:tr>
      <w:tr w:rsidR="000B609E">
        <w:trPr>
          <w:trHeight w:hRule="exact" w:val="1361"/>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-Financial assets purchased under resale agreements</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3,305,567.10</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30,044,161.34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3,305,567.10</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30,044,161.34 </w:t>
            </w:r>
          </w:p>
        </w:tc>
      </w:tr>
      <w:tr w:rsidR="000B609E">
        <w:trPr>
          <w:trHeight w:hRule="exact" w:val="454"/>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-Corporate loans</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718,166,769.08</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718,718,701.03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710,152,116.36</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709,457,739.22 </w:t>
            </w:r>
          </w:p>
        </w:tc>
      </w:tr>
      <w:tr w:rsidR="000B609E">
        <w:trPr>
          <w:trHeight w:hRule="exact" w:val="454"/>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-Individual loans</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385,123,681.22</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347,955,204.37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364,763,712.48</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331,995,202.33</w:t>
            </w:r>
          </w:p>
        </w:tc>
      </w:tr>
      <w:tr w:rsidR="000B609E">
        <w:trPr>
          <w:trHeight w:hRule="exact" w:val="454"/>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-Discount</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51,916,956.25</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46,329,594.58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49,940,733.39</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43,075,530.03 </w:t>
            </w:r>
          </w:p>
        </w:tc>
      </w:tr>
      <w:tr w:rsidR="000B609E">
        <w:trPr>
          <w:trHeight w:hRule="exact" w:val="454"/>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-Financial asset</w:t>
            </w:r>
            <w:r>
              <w:rPr>
                <w:rFonts w:ascii="Times New Roman" w:eastAsia="宋体" w:hAnsi="Times New Roman" w:cs="Times New Roman" w:hint="eastAsia"/>
                <w:kern w:val="0"/>
                <w:sz w:val="18"/>
                <w:szCs w:val="18"/>
              </w:rPr>
              <w:t>s</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255,697,083.58</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153,334,881.08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255,697,083.58</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153,334,881.08 </w:t>
            </w:r>
          </w:p>
        </w:tc>
      </w:tr>
      <w:tr w:rsidR="000B609E">
        <w:trPr>
          <w:trHeight w:hRule="exact" w:val="454"/>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b/>
                <w:iCs/>
                <w:kern w:val="0"/>
                <w:sz w:val="18"/>
                <w:szCs w:val="18"/>
              </w:rPr>
            </w:pPr>
            <w:r>
              <w:rPr>
                <w:rFonts w:ascii="Times New Roman" w:eastAsia="宋体" w:hAnsi="Times New Roman" w:cs="Times New Roman"/>
                <w:b/>
                <w:iCs/>
                <w:kern w:val="0"/>
                <w:sz w:val="18"/>
                <w:szCs w:val="18"/>
              </w:rPr>
              <w:t>Interest expense</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874,837,161.29</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806,090,279.88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860,289,589.35</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792,013,568.80 </w:t>
            </w:r>
          </w:p>
        </w:tc>
      </w:tr>
      <w:tr w:rsidR="000B609E">
        <w:trPr>
          <w:trHeight w:hRule="exact" w:val="907"/>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-Due from banks and other financial institutions</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236,635.19</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w:t>
            </w:r>
            <w:r w:rsidR="00C9116A" w:rsidRPr="00C9116A">
              <w:rPr>
                <w:rFonts w:ascii="Arial Narrow" w:eastAsia="宋体" w:hAnsi="Arial Narrow" w:cs="Arial Narrow"/>
                <w:snapToGrid w:val="0"/>
                <w:kern w:val="0"/>
                <w:sz w:val="20"/>
                <w:szCs w:val="20"/>
              </w:rPr>
              <w:t>2,197,863.09</w:t>
            </w:r>
            <w:r>
              <w:rPr>
                <w:rFonts w:ascii="Arial Narrow" w:eastAsia="宋体" w:hAnsi="Arial Narrow" w:cs="Arial Narrow" w:hint="eastAsia"/>
                <w:snapToGrid w:val="0"/>
                <w:kern w:val="0"/>
                <w:sz w:val="20"/>
                <w:szCs w:val="20"/>
              </w:rPr>
              <w:t xml:space="preserve">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241,871.31</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2,295,085.32 </w:t>
            </w:r>
          </w:p>
        </w:tc>
      </w:tr>
      <w:tr w:rsidR="000B609E">
        <w:trPr>
          <w:trHeight w:hRule="exact" w:val="454"/>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-Due to the central bank</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20,208,152.77</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5,545,833.33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20,005,694.44</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5,545,833.33 </w:t>
            </w:r>
          </w:p>
        </w:tc>
      </w:tr>
      <w:tr w:rsidR="000B609E">
        <w:trPr>
          <w:trHeight w:val="319"/>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-Financial assets sold under repurchase agreements</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8,225,043.95</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w:t>
            </w:r>
            <w:r w:rsidR="00C9116A" w:rsidRPr="00C9116A">
              <w:rPr>
                <w:rFonts w:ascii="Arial Narrow" w:eastAsia="宋体" w:hAnsi="Arial Narrow" w:cs="Arial Narrow"/>
                <w:snapToGrid w:val="0"/>
                <w:kern w:val="0"/>
                <w:sz w:val="20"/>
                <w:szCs w:val="20"/>
              </w:rPr>
              <w:t>11,556,871.33</w:t>
            </w:r>
            <w:r>
              <w:rPr>
                <w:rFonts w:ascii="Arial Narrow" w:eastAsia="宋体" w:hAnsi="Arial Narrow" w:cs="Arial Narrow" w:hint="eastAsia"/>
                <w:snapToGrid w:val="0"/>
                <w:kern w:val="0"/>
                <w:sz w:val="20"/>
                <w:szCs w:val="20"/>
              </w:rPr>
              <w:t xml:space="preserve">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8,211,839.36</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11,376,304.86 </w:t>
            </w:r>
          </w:p>
        </w:tc>
      </w:tr>
      <w:tr w:rsidR="000B609E">
        <w:trPr>
          <w:trHeight w:hRule="exact" w:val="907"/>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lastRenderedPageBreak/>
              <w:t>-</w:t>
            </w:r>
            <w:r>
              <w:rPr>
                <w:rFonts w:ascii="Times New Roman" w:hAnsi="Times New Roman" w:cs="Times New Roman"/>
                <w:sz w:val="18"/>
                <w:szCs w:val="18"/>
              </w:rPr>
              <w:t xml:space="preserve"> </w:t>
            </w:r>
            <w:r>
              <w:rPr>
                <w:rFonts w:ascii="Times New Roman" w:eastAsia="宋体" w:hAnsi="Times New Roman" w:cs="Times New Roman"/>
                <w:kern w:val="0"/>
                <w:sz w:val="18"/>
                <w:szCs w:val="18"/>
              </w:rPr>
              <w:t>Loans from banks and other financial institutions</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kern w:val="0"/>
                <w:sz w:val="20"/>
                <w:szCs w:val="20"/>
              </w:rPr>
              <w:t>219,525.91</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112,927.24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kern w:val="0"/>
                <w:sz w:val="20"/>
                <w:szCs w:val="20"/>
              </w:rPr>
              <w:t>219,525.91</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112,927.24 </w:t>
            </w:r>
          </w:p>
        </w:tc>
      </w:tr>
      <w:tr w:rsidR="000B609E">
        <w:trPr>
          <w:trHeight w:hRule="exact" w:val="454"/>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w:t>
            </w:r>
            <w:r>
              <w:rPr>
                <w:rFonts w:ascii="Times New Roman" w:hAnsi="Times New Roman" w:cs="Times New Roman"/>
                <w:sz w:val="18"/>
                <w:szCs w:val="18"/>
              </w:rPr>
              <w:t xml:space="preserve"> </w:t>
            </w:r>
            <w:r>
              <w:rPr>
                <w:rFonts w:ascii="Times New Roman" w:eastAsia="宋体" w:hAnsi="Times New Roman" w:cs="Times New Roman"/>
                <w:kern w:val="0"/>
                <w:sz w:val="18"/>
                <w:szCs w:val="18"/>
              </w:rPr>
              <w:t>Deposits from customers</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kern w:val="0"/>
                <w:sz w:val="20"/>
                <w:szCs w:val="20"/>
              </w:rPr>
              <w:t>823,647,323.73</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764,479,239.42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kern w:val="0"/>
                <w:sz w:val="20"/>
                <w:szCs w:val="20"/>
              </w:rPr>
              <w:t>809,310,178.59</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750,485,872.58 </w:t>
            </w:r>
          </w:p>
        </w:tc>
      </w:tr>
      <w:tr w:rsidR="000B609E">
        <w:trPr>
          <w:trHeight w:hRule="exact" w:val="454"/>
        </w:trPr>
        <w:tc>
          <w:tcPr>
            <w:tcW w:w="21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-Bonds</w:t>
            </w:r>
          </w:p>
        </w:tc>
        <w:tc>
          <w:tcPr>
            <w:tcW w:w="173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kern w:val="0"/>
                <w:sz w:val="20"/>
                <w:szCs w:val="20"/>
              </w:rPr>
              <w:t>22,300,479.74</w:t>
            </w:r>
          </w:p>
        </w:tc>
        <w:tc>
          <w:tcPr>
            <w:tcW w:w="198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22,197,545.47 </w:t>
            </w:r>
          </w:p>
        </w:tc>
        <w:tc>
          <w:tcPr>
            <w:tcW w:w="18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kern w:val="0"/>
                <w:sz w:val="20"/>
                <w:szCs w:val="20"/>
              </w:rPr>
              <w:t>22,300,479.74</w:t>
            </w:r>
          </w:p>
        </w:tc>
        <w:tc>
          <w:tcPr>
            <w:tcW w:w="175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22,197,545.47 </w:t>
            </w:r>
          </w:p>
        </w:tc>
      </w:tr>
      <w:tr w:rsidR="000B609E">
        <w:trPr>
          <w:trHeight w:hRule="exact" w:val="454"/>
        </w:trPr>
        <w:tc>
          <w:tcPr>
            <w:tcW w:w="2162"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b/>
                <w:iCs/>
                <w:kern w:val="0"/>
                <w:sz w:val="18"/>
                <w:szCs w:val="18"/>
              </w:rPr>
            </w:pPr>
            <w:r>
              <w:rPr>
                <w:rFonts w:ascii="Times New Roman" w:eastAsia="宋体" w:hAnsi="Times New Roman" w:cs="Times New Roman"/>
                <w:b/>
                <w:iCs/>
                <w:kern w:val="0"/>
                <w:sz w:val="18"/>
                <w:szCs w:val="18"/>
              </w:rPr>
              <w:t>Net interest income</w:t>
            </w:r>
          </w:p>
        </w:tc>
        <w:tc>
          <w:tcPr>
            <w:tcW w:w="1737"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690,171,213.27</w:t>
            </w:r>
          </w:p>
        </w:tc>
        <w:tc>
          <w:tcPr>
            <w:tcW w:w="1985"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747,580,144.01 </w:t>
            </w:r>
          </w:p>
        </w:tc>
        <w:tc>
          <w:tcPr>
            <w:tcW w:w="1843"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673,056,746.37</w:t>
            </w:r>
          </w:p>
        </w:tc>
        <w:tc>
          <w:tcPr>
            <w:tcW w:w="1758"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730,508,345.63 </w:t>
            </w:r>
          </w:p>
        </w:tc>
      </w:tr>
    </w:tbl>
    <w:p w:rsidR="000B609E" w:rsidRDefault="00B220E1">
      <w:pPr>
        <w:pStyle w:val="21"/>
        <w:numPr>
          <w:ilvl w:val="0"/>
          <w:numId w:val="31"/>
        </w:numPr>
        <w:spacing w:beforeLines="50" w:before="156" w:afterLines="50" w:after="156" w:line="360" w:lineRule="auto"/>
        <w:ind w:firstLine="482"/>
      </w:pPr>
      <w:r>
        <w:rPr>
          <w:rFonts w:ascii="Times New Roman" w:hAnsi="Times New Roman" w:cs="Times New Roman" w:hint="eastAsia"/>
          <w:sz w:val="24"/>
          <w:szCs w:val="24"/>
        </w:rPr>
        <w:t>Net fee and commission income</w:t>
      </w:r>
    </w:p>
    <w:tbl>
      <w:tblPr>
        <w:tblW w:w="9504" w:type="dxa"/>
        <w:tblInd w:w="-510" w:type="dxa"/>
        <w:tblLayout w:type="fixed"/>
        <w:tblLook w:val="04A0" w:firstRow="1" w:lastRow="0" w:firstColumn="1" w:lastColumn="0" w:noHBand="0" w:noVBand="1"/>
      </w:tblPr>
      <w:tblGrid>
        <w:gridCol w:w="2686"/>
        <w:gridCol w:w="1583"/>
        <w:gridCol w:w="1583"/>
        <w:gridCol w:w="1558"/>
        <w:gridCol w:w="2094"/>
      </w:tblGrid>
      <w:tr w:rsidR="000B609E">
        <w:trPr>
          <w:trHeight w:val="270"/>
          <w:tblHeader/>
        </w:trPr>
        <w:tc>
          <w:tcPr>
            <w:tcW w:w="2686"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166" w:type="dxa"/>
            <w:gridSpan w:val="2"/>
            <w:tcBorders>
              <w:top w:val="double" w:sz="4" w:space="0" w:color="auto"/>
              <w:left w:val="nil"/>
              <w:bottom w:val="single" w:sz="4" w:space="0" w:color="auto"/>
              <w:right w:val="nil"/>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652" w:type="dxa"/>
            <w:gridSpan w:val="2"/>
            <w:tcBorders>
              <w:top w:val="double" w:sz="4" w:space="0" w:color="auto"/>
              <w:left w:val="single" w:sz="4" w:space="0" w:color="auto"/>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00"/>
          <w:tblHeader/>
        </w:trPr>
        <w:tc>
          <w:tcPr>
            <w:tcW w:w="2686"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2094"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0B609E">
        <w:trPr>
          <w:trHeight w:hRule="exact" w:val="454"/>
        </w:trPr>
        <w:tc>
          <w:tcPr>
            <w:tcW w:w="268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b/>
                <w:iCs/>
                <w:kern w:val="0"/>
                <w:sz w:val="18"/>
                <w:szCs w:val="18"/>
              </w:rPr>
            </w:pPr>
            <w:r>
              <w:rPr>
                <w:rFonts w:ascii="Times New Roman" w:eastAsia="宋体" w:hAnsi="Times New Roman" w:cs="Times New Roman"/>
                <w:b/>
                <w:iCs/>
                <w:kern w:val="0"/>
                <w:sz w:val="18"/>
                <w:szCs w:val="18"/>
              </w:rPr>
              <w:t>Fee and commission income</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18,288,390.73</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14,333,048.45 </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18,229,809.33</w:t>
            </w:r>
          </w:p>
        </w:tc>
        <w:tc>
          <w:tcPr>
            <w:tcW w:w="209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14,274,187.71 </w:t>
            </w:r>
          </w:p>
        </w:tc>
      </w:tr>
      <w:tr w:rsidR="000B609E">
        <w:trPr>
          <w:trHeight w:hRule="exact" w:val="454"/>
        </w:trPr>
        <w:tc>
          <w:tcPr>
            <w:tcW w:w="268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-Agency commissions</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447,013.46</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2,872,470.21 </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447,013.46</w:t>
            </w:r>
          </w:p>
        </w:tc>
        <w:tc>
          <w:tcPr>
            <w:tcW w:w="209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2,872,470.21 </w:t>
            </w:r>
          </w:p>
        </w:tc>
      </w:tr>
      <w:tr w:rsidR="000B609E">
        <w:trPr>
          <w:trHeight w:hRule="exact" w:val="907"/>
        </w:trPr>
        <w:tc>
          <w:tcPr>
            <w:tcW w:w="268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-Settlement and clearing fee income</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3,583,727.27</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4,060,935.28 </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3,548,857.98</w:t>
            </w:r>
          </w:p>
        </w:tc>
        <w:tc>
          <w:tcPr>
            <w:tcW w:w="209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4,020,620.65 </w:t>
            </w:r>
          </w:p>
        </w:tc>
      </w:tr>
      <w:tr w:rsidR="000B609E">
        <w:trPr>
          <w:trHeight w:hRule="exact" w:val="454"/>
        </w:trPr>
        <w:tc>
          <w:tcPr>
            <w:tcW w:w="268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-Bank card commission</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14,257,650.00</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7,399,642.96 </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olor w:val="000000"/>
                <w:sz w:val="20"/>
                <w:szCs w:val="20"/>
              </w:rPr>
              <w:t>14,233,937.89</w:t>
            </w:r>
          </w:p>
        </w:tc>
        <w:tc>
          <w:tcPr>
            <w:tcW w:w="209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7,381,096.85 </w:t>
            </w:r>
          </w:p>
        </w:tc>
      </w:tr>
      <w:tr w:rsidR="000B609E">
        <w:trPr>
          <w:trHeight w:hRule="exact" w:val="454"/>
        </w:trPr>
        <w:tc>
          <w:tcPr>
            <w:tcW w:w="268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b/>
                <w:iCs/>
                <w:kern w:val="0"/>
                <w:sz w:val="18"/>
                <w:szCs w:val="18"/>
              </w:rPr>
            </w:pPr>
            <w:r>
              <w:rPr>
                <w:rFonts w:ascii="Times New Roman" w:eastAsia="宋体" w:hAnsi="Times New Roman" w:cs="Times New Roman"/>
                <w:b/>
                <w:iCs/>
                <w:kern w:val="0"/>
                <w:sz w:val="18"/>
                <w:szCs w:val="18"/>
              </w:rPr>
              <w:t>Fee and commission expense</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18,179,307.67</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12,900,210.96 </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color w:val="000000"/>
                <w:sz w:val="20"/>
                <w:szCs w:val="20"/>
              </w:rPr>
              <w:t>17,770,050.29</w:t>
            </w:r>
          </w:p>
        </w:tc>
        <w:tc>
          <w:tcPr>
            <w:tcW w:w="209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12,687,842.04 </w:t>
            </w:r>
          </w:p>
        </w:tc>
      </w:tr>
      <w:tr w:rsidR="000B609E">
        <w:trPr>
          <w:trHeight w:hRule="exact" w:val="454"/>
        </w:trPr>
        <w:tc>
          <w:tcPr>
            <w:tcW w:w="268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-Agency commissions</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13,700,306.91</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6,910,124.81 </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13,700,306.91</w:t>
            </w:r>
          </w:p>
        </w:tc>
        <w:tc>
          <w:tcPr>
            <w:tcW w:w="209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6,910,124.81 </w:t>
            </w:r>
          </w:p>
        </w:tc>
      </w:tr>
      <w:tr w:rsidR="000B609E">
        <w:trPr>
          <w:trHeight w:hRule="exact" w:val="907"/>
        </w:trPr>
        <w:tc>
          <w:tcPr>
            <w:tcW w:w="268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-Settlement and clearing fee income</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2,744,631.86</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4,152,630.98 </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2,646,919.53</w:t>
            </w:r>
          </w:p>
        </w:tc>
        <w:tc>
          <w:tcPr>
            <w:tcW w:w="209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4,061,480.60 </w:t>
            </w:r>
          </w:p>
        </w:tc>
      </w:tr>
      <w:tr w:rsidR="000B609E">
        <w:trPr>
          <w:trHeight w:hRule="exact" w:val="454"/>
        </w:trPr>
        <w:tc>
          <w:tcPr>
            <w:tcW w:w="2686"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-Bank card commission</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1,734,368.90</w:t>
            </w:r>
          </w:p>
        </w:tc>
        <w:tc>
          <w:tcPr>
            <w:tcW w:w="158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1,837,455.17 </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1,422,823.85</w:t>
            </w:r>
          </w:p>
        </w:tc>
        <w:tc>
          <w:tcPr>
            <w:tcW w:w="209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1,716,236.63 </w:t>
            </w:r>
          </w:p>
        </w:tc>
      </w:tr>
      <w:tr w:rsidR="000B609E">
        <w:trPr>
          <w:trHeight w:hRule="exact" w:val="454"/>
        </w:trPr>
        <w:tc>
          <w:tcPr>
            <w:tcW w:w="2686"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Net fee and commission income</w:t>
            </w:r>
          </w:p>
        </w:tc>
        <w:tc>
          <w:tcPr>
            <w:tcW w:w="1583"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color w:val="000000"/>
                <w:sz w:val="20"/>
                <w:szCs w:val="20"/>
              </w:rPr>
              <w:t>109,083.06</w:t>
            </w:r>
          </w:p>
        </w:tc>
        <w:tc>
          <w:tcPr>
            <w:tcW w:w="1583"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1,432,837.49 </w:t>
            </w:r>
          </w:p>
        </w:tc>
        <w:tc>
          <w:tcPr>
            <w:tcW w:w="1558"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color w:val="000000"/>
                <w:sz w:val="20"/>
                <w:szCs w:val="20"/>
              </w:rPr>
              <w:t>459,759.04</w:t>
            </w:r>
          </w:p>
        </w:tc>
        <w:tc>
          <w:tcPr>
            <w:tcW w:w="2094"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1,586,345.67 </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Investment income</w:t>
      </w:r>
    </w:p>
    <w:tbl>
      <w:tblPr>
        <w:tblW w:w="9835" w:type="dxa"/>
        <w:tblInd w:w="-482" w:type="dxa"/>
        <w:tblLayout w:type="fixed"/>
        <w:tblLook w:val="04A0" w:firstRow="1" w:lastRow="0" w:firstColumn="1" w:lastColumn="0" w:noHBand="0" w:noVBand="1"/>
      </w:tblPr>
      <w:tblGrid>
        <w:gridCol w:w="2562"/>
        <w:gridCol w:w="1947"/>
        <w:gridCol w:w="1894"/>
        <w:gridCol w:w="1543"/>
        <w:gridCol w:w="1889"/>
      </w:tblGrid>
      <w:tr w:rsidR="000B609E">
        <w:trPr>
          <w:trHeight w:val="300"/>
          <w:tblHeader/>
        </w:trPr>
        <w:tc>
          <w:tcPr>
            <w:tcW w:w="2562"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841" w:type="dxa"/>
            <w:gridSpan w:val="2"/>
            <w:tcBorders>
              <w:top w:val="doub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432"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447"/>
          <w:tblHeader/>
        </w:trPr>
        <w:tc>
          <w:tcPr>
            <w:tcW w:w="2562"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94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89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c>
          <w:tcPr>
            <w:tcW w:w="15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889"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trPr>
          <w:trHeight w:hRule="exact" w:val="454"/>
        </w:trPr>
        <w:tc>
          <w:tcPr>
            <w:tcW w:w="25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Long-term equity investments</w:t>
            </w:r>
          </w:p>
        </w:tc>
        <w:tc>
          <w:tcPr>
            <w:tcW w:w="194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66,753,834.88</w:t>
            </w:r>
          </w:p>
        </w:tc>
        <w:tc>
          <w:tcPr>
            <w:tcW w:w="189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64,038,880.64 </w:t>
            </w:r>
          </w:p>
        </w:tc>
        <w:tc>
          <w:tcPr>
            <w:tcW w:w="15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68,803,834.88</w:t>
            </w:r>
          </w:p>
        </w:tc>
        <w:tc>
          <w:tcPr>
            <w:tcW w:w="188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66,088,880.64</w:t>
            </w:r>
          </w:p>
        </w:tc>
      </w:tr>
      <w:tr w:rsidR="000B609E">
        <w:trPr>
          <w:trHeight w:hRule="exact" w:val="907"/>
        </w:trPr>
        <w:tc>
          <w:tcPr>
            <w:tcW w:w="25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Investment income from holding financial assets</w:t>
            </w:r>
          </w:p>
        </w:tc>
        <w:tc>
          <w:tcPr>
            <w:tcW w:w="194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2,702,500.96</w:t>
            </w:r>
          </w:p>
        </w:tc>
        <w:tc>
          <w:tcPr>
            <w:tcW w:w="189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3,350,532.55 </w:t>
            </w:r>
          </w:p>
        </w:tc>
        <w:tc>
          <w:tcPr>
            <w:tcW w:w="15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2,702,500.96</w:t>
            </w:r>
          </w:p>
        </w:tc>
        <w:tc>
          <w:tcPr>
            <w:tcW w:w="188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3,350,532.55</w:t>
            </w:r>
          </w:p>
        </w:tc>
      </w:tr>
      <w:tr w:rsidR="000B609E">
        <w:trPr>
          <w:trHeight w:hRule="exact" w:val="907"/>
        </w:trPr>
        <w:tc>
          <w:tcPr>
            <w:tcW w:w="25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Investment income from disposal of financial assets</w:t>
            </w:r>
          </w:p>
        </w:tc>
        <w:tc>
          <w:tcPr>
            <w:tcW w:w="194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3,722,734.53</w:t>
            </w:r>
          </w:p>
        </w:tc>
        <w:tc>
          <w:tcPr>
            <w:tcW w:w="189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551,041.72 </w:t>
            </w:r>
          </w:p>
        </w:tc>
        <w:tc>
          <w:tcPr>
            <w:tcW w:w="15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3,722,734.53</w:t>
            </w:r>
          </w:p>
        </w:tc>
        <w:tc>
          <w:tcPr>
            <w:tcW w:w="188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547,695.05</w:t>
            </w:r>
          </w:p>
        </w:tc>
      </w:tr>
      <w:tr w:rsidR="000B609E">
        <w:trPr>
          <w:trHeight w:hRule="exact" w:val="907"/>
        </w:trPr>
        <w:tc>
          <w:tcPr>
            <w:tcW w:w="256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lastRenderedPageBreak/>
              <w:t>Total</w:t>
            </w:r>
          </w:p>
        </w:tc>
        <w:tc>
          <w:tcPr>
            <w:tcW w:w="194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b/>
                <w:bCs/>
                <w:color w:val="000000"/>
                <w:sz w:val="20"/>
                <w:szCs w:val="20"/>
              </w:rPr>
            </w:pPr>
            <w:r>
              <w:rPr>
                <w:rFonts w:ascii="Arial Narrow" w:hAnsi="Arial Narrow" w:cs="宋体"/>
                <w:b/>
                <w:bCs/>
                <w:color w:val="000000"/>
                <w:sz w:val="20"/>
                <w:szCs w:val="20"/>
              </w:rPr>
              <w:t>73,179,070.37</w:t>
            </w:r>
          </w:p>
        </w:tc>
        <w:tc>
          <w:tcPr>
            <w:tcW w:w="189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b/>
                <w:bCs/>
                <w:color w:val="000000"/>
                <w:sz w:val="20"/>
                <w:szCs w:val="20"/>
              </w:rPr>
            </w:pPr>
            <w:r>
              <w:rPr>
                <w:rFonts w:ascii="Arial Narrow" w:hAnsi="Arial Narrow" w:cs="宋体" w:hint="eastAsia"/>
                <w:b/>
                <w:bCs/>
                <w:color w:val="000000"/>
                <w:sz w:val="20"/>
                <w:szCs w:val="20"/>
              </w:rPr>
              <w:t>67,940,454.91</w:t>
            </w:r>
          </w:p>
        </w:tc>
        <w:tc>
          <w:tcPr>
            <w:tcW w:w="15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b/>
                <w:bCs/>
                <w:color w:val="000000"/>
                <w:sz w:val="20"/>
                <w:szCs w:val="20"/>
              </w:rPr>
            </w:pPr>
            <w:r>
              <w:rPr>
                <w:rFonts w:ascii="Arial Narrow" w:hAnsi="Arial Narrow" w:cs="宋体"/>
                <w:b/>
                <w:bCs/>
                <w:color w:val="000000"/>
                <w:sz w:val="20"/>
                <w:szCs w:val="20"/>
              </w:rPr>
              <w:t>75,229,070.37</w:t>
            </w:r>
          </w:p>
        </w:tc>
        <w:tc>
          <w:tcPr>
            <w:tcW w:w="188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b/>
                <w:bCs/>
                <w:color w:val="000000"/>
                <w:sz w:val="20"/>
                <w:szCs w:val="20"/>
              </w:rPr>
            </w:pPr>
            <w:r>
              <w:rPr>
                <w:rFonts w:ascii="Arial Narrow" w:hAnsi="Arial Narrow" w:cs="宋体" w:hint="eastAsia"/>
                <w:b/>
                <w:bCs/>
                <w:color w:val="000000"/>
                <w:sz w:val="20"/>
                <w:szCs w:val="20"/>
              </w:rPr>
              <w:t>69,987,108.24</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Other operating income</w:t>
      </w:r>
    </w:p>
    <w:tbl>
      <w:tblPr>
        <w:tblW w:w="9444" w:type="dxa"/>
        <w:tblInd w:w="-425" w:type="dxa"/>
        <w:tblLayout w:type="fixed"/>
        <w:tblLook w:val="04A0" w:firstRow="1" w:lastRow="0" w:firstColumn="1" w:lastColumn="0" w:noHBand="0" w:noVBand="1"/>
      </w:tblPr>
      <w:tblGrid>
        <w:gridCol w:w="2245"/>
        <w:gridCol w:w="1580"/>
        <w:gridCol w:w="1844"/>
        <w:gridCol w:w="1915"/>
        <w:gridCol w:w="1860"/>
      </w:tblGrid>
      <w:tr w:rsidR="000B609E">
        <w:trPr>
          <w:trHeight w:val="308"/>
          <w:tblHeader/>
        </w:trPr>
        <w:tc>
          <w:tcPr>
            <w:tcW w:w="2245" w:type="dxa"/>
            <w:vMerge w:val="restart"/>
            <w:tcBorders>
              <w:top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424" w:type="dxa"/>
            <w:gridSpan w:val="2"/>
            <w:tcBorders>
              <w:top w:val="doub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775"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42"/>
          <w:tblHeader/>
        </w:trPr>
        <w:tc>
          <w:tcPr>
            <w:tcW w:w="2245" w:type="dxa"/>
            <w:vMerge/>
            <w:tcBorders>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5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84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c>
          <w:tcPr>
            <w:tcW w:w="191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860"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trPr>
          <w:trHeight w:hRule="exact" w:val="454"/>
        </w:trPr>
        <w:tc>
          <w:tcPr>
            <w:tcW w:w="2245"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Rental income</w:t>
            </w:r>
          </w:p>
        </w:tc>
        <w:tc>
          <w:tcPr>
            <w:tcW w:w="15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6,117,952.38</w:t>
            </w:r>
          </w:p>
        </w:tc>
        <w:tc>
          <w:tcPr>
            <w:tcW w:w="184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6,680,952.38</w:t>
            </w:r>
          </w:p>
        </w:tc>
        <w:tc>
          <w:tcPr>
            <w:tcW w:w="191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6,117,952.38</w:t>
            </w:r>
          </w:p>
        </w:tc>
        <w:tc>
          <w:tcPr>
            <w:tcW w:w="1860"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6,680,952.38</w:t>
            </w:r>
          </w:p>
        </w:tc>
      </w:tr>
      <w:tr w:rsidR="000B609E">
        <w:trPr>
          <w:trHeight w:hRule="exact" w:val="454"/>
        </w:trPr>
        <w:tc>
          <w:tcPr>
            <w:tcW w:w="2245"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Other</w:t>
            </w:r>
          </w:p>
        </w:tc>
        <w:tc>
          <w:tcPr>
            <w:tcW w:w="15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953,573.22</w:t>
            </w:r>
          </w:p>
        </w:tc>
        <w:tc>
          <w:tcPr>
            <w:tcW w:w="184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650,387.26</w:t>
            </w:r>
          </w:p>
        </w:tc>
        <w:tc>
          <w:tcPr>
            <w:tcW w:w="191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953,573.22</w:t>
            </w:r>
          </w:p>
        </w:tc>
        <w:tc>
          <w:tcPr>
            <w:tcW w:w="1860"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650,387.26</w:t>
            </w:r>
          </w:p>
        </w:tc>
      </w:tr>
      <w:tr w:rsidR="000B609E">
        <w:trPr>
          <w:trHeight w:hRule="exact" w:val="454"/>
        </w:trPr>
        <w:tc>
          <w:tcPr>
            <w:tcW w:w="2245" w:type="dxa"/>
            <w:tcBorders>
              <w:top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580"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7,071,525.60</w:t>
            </w:r>
          </w:p>
        </w:tc>
        <w:tc>
          <w:tcPr>
            <w:tcW w:w="1844"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7,331,339.64</w:t>
            </w:r>
          </w:p>
        </w:tc>
        <w:tc>
          <w:tcPr>
            <w:tcW w:w="1915"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7,071,525.60</w:t>
            </w:r>
          </w:p>
        </w:tc>
        <w:tc>
          <w:tcPr>
            <w:tcW w:w="1860" w:type="dxa"/>
            <w:tcBorders>
              <w:top w:val="single" w:sz="4" w:space="0" w:color="auto"/>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7,331,339.64</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Assets disposal income</w:t>
      </w:r>
    </w:p>
    <w:tbl>
      <w:tblPr>
        <w:tblW w:w="9432" w:type="dxa"/>
        <w:tblInd w:w="-448" w:type="dxa"/>
        <w:tblLayout w:type="fixed"/>
        <w:tblLook w:val="04A0" w:firstRow="1" w:lastRow="0" w:firstColumn="1" w:lastColumn="0" w:noHBand="0" w:noVBand="1"/>
      </w:tblPr>
      <w:tblGrid>
        <w:gridCol w:w="2775"/>
        <w:gridCol w:w="1563"/>
        <w:gridCol w:w="1440"/>
        <w:gridCol w:w="1615"/>
        <w:gridCol w:w="2039"/>
      </w:tblGrid>
      <w:tr w:rsidR="000B609E">
        <w:trPr>
          <w:trHeight w:val="308"/>
          <w:tblHeader/>
        </w:trPr>
        <w:tc>
          <w:tcPr>
            <w:tcW w:w="2775"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003" w:type="dxa"/>
            <w:gridSpan w:val="2"/>
            <w:tcBorders>
              <w:top w:val="doub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654"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42"/>
          <w:tblHeader/>
        </w:trPr>
        <w:tc>
          <w:tcPr>
            <w:tcW w:w="2775"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56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44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c>
          <w:tcPr>
            <w:tcW w:w="161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2039"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trPr>
          <w:trHeight w:hRule="exact" w:val="454"/>
        </w:trPr>
        <w:tc>
          <w:tcPr>
            <w:tcW w:w="2775"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Gain on dispos</w:t>
            </w:r>
            <w:r>
              <w:rPr>
                <w:rFonts w:ascii="Times New Roman" w:eastAsia="宋体" w:hAnsi="Times New Roman" w:cs="Times New Roman" w:hint="eastAsia"/>
                <w:snapToGrid w:val="0"/>
                <w:kern w:val="0"/>
                <w:sz w:val="18"/>
                <w:szCs w:val="18"/>
                <w:lang w:val="en-GB"/>
              </w:rPr>
              <w:t>al</w:t>
            </w:r>
            <w:r>
              <w:rPr>
                <w:rFonts w:ascii="Times New Roman" w:eastAsia="宋体" w:hAnsi="Times New Roman" w:cs="Times New Roman"/>
                <w:snapToGrid w:val="0"/>
                <w:kern w:val="0"/>
                <w:sz w:val="18"/>
                <w:szCs w:val="18"/>
                <w:lang w:val="en-GB"/>
              </w:rPr>
              <w:t xml:space="preserve"> of</w:t>
            </w:r>
            <w:r>
              <w:rPr>
                <w:rFonts w:ascii="Times New Roman" w:eastAsia="宋体" w:hAnsi="Times New Roman" w:cs="Times New Roman" w:hint="eastAsia"/>
                <w:snapToGrid w:val="0"/>
                <w:kern w:val="0"/>
                <w:sz w:val="18"/>
                <w:szCs w:val="18"/>
                <w:lang w:val="en-GB"/>
              </w:rPr>
              <w:t xml:space="preserve"> fixed</w:t>
            </w:r>
            <w:r>
              <w:rPr>
                <w:rFonts w:ascii="Times New Roman" w:eastAsia="宋体" w:hAnsi="Times New Roman" w:cs="Times New Roman"/>
                <w:snapToGrid w:val="0"/>
                <w:kern w:val="0"/>
                <w:sz w:val="18"/>
                <w:szCs w:val="18"/>
                <w:lang w:val="en-GB"/>
              </w:rPr>
              <w:t xml:space="preserve"> asset</w:t>
            </w:r>
          </w:p>
        </w:tc>
        <w:tc>
          <w:tcPr>
            <w:tcW w:w="156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2,332,334.03</w:t>
            </w:r>
          </w:p>
        </w:tc>
        <w:tc>
          <w:tcPr>
            <w:tcW w:w="144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622,285.25</w:t>
            </w:r>
          </w:p>
        </w:tc>
        <w:tc>
          <w:tcPr>
            <w:tcW w:w="161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2,328,225.09</w:t>
            </w:r>
          </w:p>
        </w:tc>
        <w:tc>
          <w:tcPr>
            <w:tcW w:w="203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622,285.25</w:t>
            </w:r>
          </w:p>
        </w:tc>
      </w:tr>
      <w:tr w:rsidR="000B609E">
        <w:trPr>
          <w:trHeight w:hRule="exact" w:val="454"/>
        </w:trPr>
        <w:tc>
          <w:tcPr>
            <w:tcW w:w="2775"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Loss on dispos</w:t>
            </w:r>
            <w:r>
              <w:rPr>
                <w:rFonts w:ascii="Times New Roman" w:eastAsia="宋体" w:hAnsi="Times New Roman" w:cs="Times New Roman" w:hint="eastAsia"/>
                <w:kern w:val="0"/>
                <w:sz w:val="18"/>
                <w:szCs w:val="18"/>
              </w:rPr>
              <w:t>al</w:t>
            </w:r>
            <w:r>
              <w:rPr>
                <w:rFonts w:ascii="Times New Roman" w:eastAsia="宋体" w:hAnsi="Times New Roman" w:cs="Times New Roman"/>
                <w:kern w:val="0"/>
                <w:sz w:val="18"/>
                <w:szCs w:val="18"/>
              </w:rPr>
              <w:t xml:space="preserve"> of </w:t>
            </w:r>
            <w:r>
              <w:rPr>
                <w:rFonts w:ascii="Times New Roman" w:eastAsia="宋体" w:hAnsi="Times New Roman" w:cs="Times New Roman" w:hint="eastAsia"/>
                <w:kern w:val="0"/>
                <w:sz w:val="18"/>
                <w:szCs w:val="18"/>
              </w:rPr>
              <w:t xml:space="preserve">fixed </w:t>
            </w:r>
            <w:r>
              <w:rPr>
                <w:rFonts w:ascii="Times New Roman" w:eastAsia="宋体" w:hAnsi="Times New Roman" w:cs="Times New Roman"/>
                <w:kern w:val="0"/>
                <w:sz w:val="18"/>
                <w:szCs w:val="18"/>
              </w:rPr>
              <w:t>asset</w:t>
            </w:r>
          </w:p>
        </w:tc>
        <w:tc>
          <w:tcPr>
            <w:tcW w:w="156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-293,775.57</w:t>
            </w:r>
          </w:p>
        </w:tc>
        <w:tc>
          <w:tcPr>
            <w:tcW w:w="144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-113,487.56</w:t>
            </w:r>
          </w:p>
        </w:tc>
        <w:tc>
          <w:tcPr>
            <w:tcW w:w="161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-293,775.57</w:t>
            </w:r>
          </w:p>
        </w:tc>
        <w:tc>
          <w:tcPr>
            <w:tcW w:w="203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-113,487.56</w:t>
            </w:r>
          </w:p>
        </w:tc>
      </w:tr>
      <w:tr w:rsidR="000B609E">
        <w:trPr>
          <w:trHeight w:hRule="exact" w:val="454"/>
        </w:trPr>
        <w:tc>
          <w:tcPr>
            <w:tcW w:w="2775" w:type="dxa"/>
            <w:tcBorders>
              <w:top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r>
              <w:rPr>
                <w:rFonts w:ascii="Times New Roman" w:eastAsia="宋体" w:hAnsi="Times New Roman" w:cs="Times New Roman" w:hint="eastAsia"/>
                <w:b/>
                <w:kern w:val="0"/>
                <w:sz w:val="18"/>
                <w:szCs w:val="18"/>
              </w:rPr>
              <w:t xml:space="preserve"> </w:t>
            </w:r>
          </w:p>
        </w:tc>
        <w:tc>
          <w:tcPr>
            <w:tcW w:w="1563"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sz w:val="20"/>
                <w:szCs w:val="20"/>
              </w:rPr>
              <w:t>2,038,558.46</w:t>
            </w:r>
          </w:p>
        </w:tc>
        <w:tc>
          <w:tcPr>
            <w:tcW w:w="1440"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508,797.69</w:t>
            </w:r>
          </w:p>
        </w:tc>
        <w:tc>
          <w:tcPr>
            <w:tcW w:w="1615"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sz w:val="20"/>
                <w:szCs w:val="20"/>
              </w:rPr>
              <w:t>2,034,449.52</w:t>
            </w:r>
          </w:p>
        </w:tc>
        <w:tc>
          <w:tcPr>
            <w:tcW w:w="2039" w:type="dxa"/>
            <w:tcBorders>
              <w:top w:val="single" w:sz="4" w:space="0" w:color="auto"/>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508,797.69</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Other Income</w:t>
      </w:r>
    </w:p>
    <w:tbl>
      <w:tblPr>
        <w:tblW w:w="9456" w:type="dxa"/>
        <w:tblInd w:w="-459" w:type="dxa"/>
        <w:tblLayout w:type="fixed"/>
        <w:tblLook w:val="04A0" w:firstRow="1" w:lastRow="0" w:firstColumn="1" w:lastColumn="0" w:noHBand="0" w:noVBand="1"/>
      </w:tblPr>
      <w:tblGrid>
        <w:gridCol w:w="2913"/>
        <w:gridCol w:w="1743"/>
        <w:gridCol w:w="1584"/>
        <w:gridCol w:w="1572"/>
        <w:gridCol w:w="1644"/>
      </w:tblGrid>
      <w:tr w:rsidR="000B609E">
        <w:trPr>
          <w:trHeight w:val="308"/>
          <w:tblHeader/>
        </w:trPr>
        <w:tc>
          <w:tcPr>
            <w:tcW w:w="2913"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327" w:type="dxa"/>
            <w:gridSpan w:val="2"/>
            <w:tcBorders>
              <w:top w:val="doub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216"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42"/>
          <w:tblHeader/>
        </w:trPr>
        <w:tc>
          <w:tcPr>
            <w:tcW w:w="2913"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7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58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c>
          <w:tcPr>
            <w:tcW w:w="15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644"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trPr>
          <w:trHeight w:hRule="exact" w:val="907"/>
        </w:trPr>
        <w:tc>
          <w:tcPr>
            <w:tcW w:w="291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lang w:val="en-GB"/>
              </w:rPr>
              <w:t xml:space="preserve">2019 Provincial Poverty Alleviation Microloan Subsidies </w:t>
            </w:r>
          </w:p>
        </w:tc>
        <w:tc>
          <w:tcPr>
            <w:tcW w:w="1743"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58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406,700.00</w:t>
            </w:r>
          </w:p>
        </w:tc>
        <w:tc>
          <w:tcPr>
            <w:tcW w:w="15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w:t>
            </w:r>
          </w:p>
        </w:tc>
        <w:tc>
          <w:tcPr>
            <w:tcW w:w="164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406,700.00</w:t>
            </w:r>
          </w:p>
        </w:tc>
      </w:tr>
      <w:tr w:rsidR="000B609E">
        <w:trPr>
          <w:trHeight w:hRule="exact" w:val="612"/>
        </w:trPr>
        <w:tc>
          <w:tcPr>
            <w:tcW w:w="291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rPr>
              <w:t>2019 Subsidies of Credit Service for Rural Revitalization</w:t>
            </w:r>
          </w:p>
        </w:tc>
        <w:tc>
          <w:tcPr>
            <w:tcW w:w="17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sz w:val="20"/>
                <w:szCs w:val="20"/>
              </w:rPr>
            </w:pPr>
            <w:r>
              <w:rPr>
                <w:rFonts w:ascii="Arial Narrow" w:hAnsi="Arial Narrow"/>
                <w:sz w:val="20"/>
                <w:szCs w:val="20"/>
              </w:rPr>
              <w:t>160,000.00</w:t>
            </w:r>
          </w:p>
        </w:tc>
        <w:tc>
          <w:tcPr>
            <w:tcW w:w="1584"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hAnsi="Arial Narrow"/>
                <w:sz w:val="20"/>
                <w:szCs w:val="20"/>
              </w:rPr>
            </w:pPr>
            <w:r>
              <w:rPr>
                <w:rFonts w:ascii="Arial Narrow" w:hAnsi="Arial Narrow" w:hint="eastAsia"/>
                <w:sz w:val="20"/>
                <w:szCs w:val="20"/>
              </w:rPr>
              <w:t>-</w:t>
            </w:r>
          </w:p>
        </w:tc>
        <w:tc>
          <w:tcPr>
            <w:tcW w:w="15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160,000.00</w:t>
            </w:r>
          </w:p>
        </w:tc>
        <w:tc>
          <w:tcPr>
            <w:tcW w:w="1644"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r>
      <w:tr w:rsidR="000B609E">
        <w:trPr>
          <w:trHeight w:hRule="exact" w:val="733"/>
        </w:trPr>
        <w:tc>
          <w:tcPr>
            <w:tcW w:w="291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lang w:val="en-GB"/>
              </w:rPr>
              <w:t>2020 Thailand Credit Insurance Business Assessment Award</w:t>
            </w:r>
          </w:p>
        </w:tc>
        <w:tc>
          <w:tcPr>
            <w:tcW w:w="17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295,200.00</w:t>
            </w:r>
          </w:p>
        </w:tc>
        <w:tc>
          <w:tcPr>
            <w:tcW w:w="1584"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5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295,200.00</w:t>
            </w:r>
          </w:p>
        </w:tc>
        <w:tc>
          <w:tcPr>
            <w:tcW w:w="1644"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r>
      <w:tr w:rsidR="000B609E">
        <w:trPr>
          <w:trHeight w:hRule="exact" w:val="393"/>
        </w:trPr>
        <w:tc>
          <w:tcPr>
            <w:tcW w:w="291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lang w:val="en-GB"/>
              </w:rPr>
              <w:t xml:space="preserve">2020 Fintech Innovation Awards </w:t>
            </w:r>
          </w:p>
        </w:tc>
        <w:tc>
          <w:tcPr>
            <w:tcW w:w="17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538,900.00</w:t>
            </w:r>
          </w:p>
        </w:tc>
        <w:tc>
          <w:tcPr>
            <w:tcW w:w="1584"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5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538,900.00</w:t>
            </w:r>
          </w:p>
        </w:tc>
        <w:tc>
          <w:tcPr>
            <w:tcW w:w="1644"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r>
      <w:tr w:rsidR="000B609E">
        <w:trPr>
          <w:trHeight w:hRule="exact" w:val="454"/>
        </w:trPr>
        <w:tc>
          <w:tcPr>
            <w:tcW w:w="291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lang w:val="en-GB"/>
              </w:rPr>
              <w:t>L</w:t>
            </w:r>
            <w:r>
              <w:rPr>
                <w:rFonts w:ascii="Times New Roman" w:eastAsia="宋体" w:hAnsi="Times New Roman" w:cs="Times New Roman"/>
                <w:snapToGrid w:val="0"/>
                <w:kern w:val="0"/>
                <w:sz w:val="18"/>
                <w:szCs w:val="18"/>
                <w:lang w:val="en-GB"/>
              </w:rPr>
              <w:t>oan risk compensation</w:t>
            </w:r>
          </w:p>
        </w:tc>
        <w:tc>
          <w:tcPr>
            <w:tcW w:w="17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1,120,000.00</w:t>
            </w:r>
          </w:p>
        </w:tc>
        <w:tc>
          <w:tcPr>
            <w:tcW w:w="158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672,000.00</w:t>
            </w:r>
          </w:p>
        </w:tc>
        <w:tc>
          <w:tcPr>
            <w:tcW w:w="15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w:t>
            </w:r>
          </w:p>
        </w:tc>
        <w:tc>
          <w:tcPr>
            <w:tcW w:w="1644"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r>
      <w:tr w:rsidR="000B609E">
        <w:trPr>
          <w:trHeight w:hRule="exact" w:val="907"/>
        </w:trPr>
        <w:tc>
          <w:tcPr>
            <w:tcW w:w="291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rPr>
            </w:pPr>
            <w:r>
              <w:rPr>
                <w:rFonts w:ascii="Times New Roman" w:eastAsia="宋体" w:hAnsi="Times New Roman" w:cs="Times New Roman" w:hint="eastAsia"/>
                <w:snapToGrid w:val="0"/>
                <w:kern w:val="0"/>
                <w:sz w:val="18"/>
                <w:szCs w:val="18"/>
                <w:lang w:val="en-GB"/>
              </w:rPr>
              <w:t xml:space="preserve">Provincial Supplementary Fund </w:t>
            </w:r>
            <w:r>
              <w:rPr>
                <w:rFonts w:ascii="Times New Roman" w:eastAsia="宋体" w:hAnsi="Times New Roman" w:cs="Times New Roman" w:hint="eastAsia"/>
                <w:snapToGrid w:val="0"/>
                <w:kern w:val="0"/>
                <w:sz w:val="18"/>
                <w:szCs w:val="18"/>
              </w:rPr>
              <w:t>for Agricultural Guaranteed Loans</w:t>
            </w:r>
          </w:p>
        </w:tc>
        <w:tc>
          <w:tcPr>
            <w:tcW w:w="17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34,035.13</w:t>
            </w:r>
          </w:p>
        </w:tc>
        <w:tc>
          <w:tcPr>
            <w:tcW w:w="1584"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57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34,035.13</w:t>
            </w:r>
          </w:p>
        </w:tc>
        <w:tc>
          <w:tcPr>
            <w:tcW w:w="1644"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r>
      <w:tr w:rsidR="000B609E">
        <w:trPr>
          <w:trHeight w:hRule="exact" w:val="454"/>
        </w:trPr>
        <w:tc>
          <w:tcPr>
            <w:tcW w:w="2913" w:type="dxa"/>
            <w:tcBorders>
              <w:top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lastRenderedPageBreak/>
              <w:t>Total</w:t>
            </w:r>
          </w:p>
        </w:tc>
        <w:tc>
          <w:tcPr>
            <w:tcW w:w="1743"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156"/>
              <w:ind w:firstLine="402"/>
              <w:jc w:val="right"/>
              <w:rPr>
                <w:sz w:val="20"/>
                <w:szCs w:val="20"/>
              </w:rPr>
            </w:pPr>
            <w:r>
              <w:rPr>
                <w:rFonts w:ascii="Arial Narrow" w:hAnsi="Arial Narrow"/>
                <w:b/>
                <w:sz w:val="20"/>
                <w:szCs w:val="20"/>
              </w:rPr>
              <w:t>2,148,135.13</w:t>
            </w:r>
          </w:p>
          <w:p w:rsidR="000B609E" w:rsidRDefault="000B609E">
            <w:pPr>
              <w:spacing w:afterLines="0" w:after="0"/>
              <w:ind w:firstLineChars="0" w:firstLine="0"/>
              <w:jc w:val="right"/>
              <w:rPr>
                <w:rFonts w:ascii="Arial Narrow" w:eastAsia="宋体" w:hAnsi="Arial Narrow" w:cs="Arial Narrow"/>
                <w:b/>
                <w:bCs/>
                <w:snapToGrid w:val="0"/>
                <w:kern w:val="0"/>
                <w:sz w:val="20"/>
                <w:szCs w:val="20"/>
              </w:rPr>
            </w:pPr>
          </w:p>
        </w:tc>
        <w:tc>
          <w:tcPr>
            <w:tcW w:w="1584"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1,078,700.00</w:t>
            </w:r>
          </w:p>
        </w:tc>
        <w:tc>
          <w:tcPr>
            <w:tcW w:w="1572"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1,028,135.13</w:t>
            </w:r>
          </w:p>
        </w:tc>
        <w:tc>
          <w:tcPr>
            <w:tcW w:w="1644" w:type="dxa"/>
            <w:tcBorders>
              <w:top w:val="single" w:sz="4" w:space="0" w:color="auto"/>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406,700.00</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Tax and surcharges</w:t>
      </w:r>
    </w:p>
    <w:tbl>
      <w:tblPr>
        <w:tblW w:w="9468" w:type="dxa"/>
        <w:tblInd w:w="-448" w:type="dxa"/>
        <w:tblLayout w:type="fixed"/>
        <w:tblLook w:val="04A0" w:firstRow="1" w:lastRow="0" w:firstColumn="1" w:lastColumn="0" w:noHBand="0" w:noVBand="1"/>
      </w:tblPr>
      <w:tblGrid>
        <w:gridCol w:w="2417"/>
        <w:gridCol w:w="1552"/>
        <w:gridCol w:w="1703"/>
        <w:gridCol w:w="1780"/>
        <w:gridCol w:w="2016"/>
      </w:tblGrid>
      <w:tr w:rsidR="000B609E">
        <w:trPr>
          <w:trHeight w:val="334"/>
          <w:tblHeader/>
        </w:trPr>
        <w:tc>
          <w:tcPr>
            <w:tcW w:w="2417"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255" w:type="dxa"/>
            <w:gridSpan w:val="2"/>
            <w:tcBorders>
              <w:top w:val="doub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796"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71"/>
          <w:tblHeader/>
        </w:trPr>
        <w:tc>
          <w:tcPr>
            <w:tcW w:w="2417"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55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7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c>
          <w:tcPr>
            <w:tcW w:w="17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2016"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trPr>
          <w:trHeight w:hRule="exact" w:val="907"/>
        </w:trPr>
        <w:tc>
          <w:tcPr>
            <w:tcW w:w="241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lang w:val="en-GB"/>
              </w:rPr>
              <w:t xml:space="preserve">City maintenance and </w:t>
            </w:r>
          </w:p>
          <w:p w:rsidR="000B609E" w:rsidRDefault="00B220E1">
            <w:pPr>
              <w:spacing w:afterLines="0" w:after="0"/>
              <w:ind w:firstLineChars="0" w:firstLine="0"/>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lang w:val="en-GB"/>
              </w:rPr>
              <w:t>construction tax</w:t>
            </w:r>
          </w:p>
        </w:tc>
        <w:tc>
          <w:tcPr>
            <w:tcW w:w="155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1,793,261.40</w:t>
            </w:r>
          </w:p>
        </w:tc>
        <w:tc>
          <w:tcPr>
            <w:tcW w:w="17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1,569,867.05</w:t>
            </w:r>
          </w:p>
        </w:tc>
        <w:tc>
          <w:tcPr>
            <w:tcW w:w="17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1,746,261.40</w:t>
            </w:r>
          </w:p>
        </w:tc>
        <w:tc>
          <w:tcPr>
            <w:tcW w:w="20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1,529,867.05</w:t>
            </w:r>
          </w:p>
        </w:tc>
      </w:tr>
      <w:tr w:rsidR="000B609E">
        <w:trPr>
          <w:trHeight w:hRule="exact" w:val="454"/>
        </w:trPr>
        <w:tc>
          <w:tcPr>
            <w:tcW w:w="241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Educational surcharge</w:t>
            </w:r>
          </w:p>
        </w:tc>
        <w:tc>
          <w:tcPr>
            <w:tcW w:w="155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1,080,297.05</w:t>
            </w:r>
          </w:p>
        </w:tc>
        <w:tc>
          <w:tcPr>
            <w:tcW w:w="17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1,118,762.18</w:t>
            </w:r>
          </w:p>
        </w:tc>
        <w:tc>
          <w:tcPr>
            <w:tcW w:w="17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1,044,997.05</w:t>
            </w:r>
          </w:p>
        </w:tc>
        <w:tc>
          <w:tcPr>
            <w:tcW w:w="20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1,092,762.18</w:t>
            </w:r>
          </w:p>
        </w:tc>
      </w:tr>
      <w:tr w:rsidR="000B609E">
        <w:trPr>
          <w:trHeight w:hRule="exact" w:val="454"/>
        </w:trPr>
        <w:tc>
          <w:tcPr>
            <w:tcW w:w="241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Building tax</w:t>
            </w:r>
          </w:p>
        </w:tc>
        <w:tc>
          <w:tcPr>
            <w:tcW w:w="155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5,617,914.73</w:t>
            </w:r>
          </w:p>
        </w:tc>
        <w:tc>
          <w:tcPr>
            <w:tcW w:w="17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5,288,072.20</w:t>
            </w:r>
          </w:p>
        </w:tc>
        <w:tc>
          <w:tcPr>
            <w:tcW w:w="17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5,443,914.73</w:t>
            </w:r>
          </w:p>
        </w:tc>
        <w:tc>
          <w:tcPr>
            <w:tcW w:w="20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5,113,072.20</w:t>
            </w:r>
          </w:p>
        </w:tc>
      </w:tr>
      <w:tr w:rsidR="000B609E">
        <w:trPr>
          <w:trHeight w:hRule="exact" w:val="454"/>
        </w:trPr>
        <w:tc>
          <w:tcPr>
            <w:tcW w:w="241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Land use tax</w:t>
            </w:r>
          </w:p>
        </w:tc>
        <w:tc>
          <w:tcPr>
            <w:tcW w:w="155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246,121.65</w:t>
            </w:r>
          </w:p>
        </w:tc>
        <w:tc>
          <w:tcPr>
            <w:tcW w:w="17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244,300.59</w:t>
            </w:r>
          </w:p>
        </w:tc>
        <w:tc>
          <w:tcPr>
            <w:tcW w:w="17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238,891.17</w:t>
            </w:r>
          </w:p>
        </w:tc>
        <w:tc>
          <w:tcPr>
            <w:tcW w:w="20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237,070.11</w:t>
            </w:r>
          </w:p>
        </w:tc>
      </w:tr>
      <w:tr w:rsidR="000B609E">
        <w:trPr>
          <w:trHeight w:hRule="exact" w:val="454"/>
        </w:trPr>
        <w:tc>
          <w:tcPr>
            <w:tcW w:w="241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Stamp tax</w:t>
            </w:r>
          </w:p>
        </w:tc>
        <w:tc>
          <w:tcPr>
            <w:tcW w:w="155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907,254.10</w:t>
            </w:r>
          </w:p>
        </w:tc>
        <w:tc>
          <w:tcPr>
            <w:tcW w:w="170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835,081.70</w:t>
            </w:r>
          </w:p>
        </w:tc>
        <w:tc>
          <w:tcPr>
            <w:tcW w:w="178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883,445.20</w:t>
            </w:r>
          </w:p>
        </w:tc>
        <w:tc>
          <w:tcPr>
            <w:tcW w:w="20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823,044.40</w:t>
            </w:r>
          </w:p>
        </w:tc>
      </w:tr>
      <w:tr w:rsidR="000B609E">
        <w:trPr>
          <w:trHeight w:hRule="exact" w:val="454"/>
        </w:trPr>
        <w:tc>
          <w:tcPr>
            <w:tcW w:w="2417"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250" w:firstLine="452"/>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55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9,644,848.93</w:t>
            </w:r>
          </w:p>
        </w:tc>
        <w:tc>
          <w:tcPr>
            <w:tcW w:w="1703"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9,056,083.72</w:t>
            </w:r>
          </w:p>
        </w:tc>
        <w:tc>
          <w:tcPr>
            <w:tcW w:w="178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color w:val="000000"/>
                <w:sz w:val="20"/>
                <w:szCs w:val="20"/>
              </w:rPr>
              <w:t>9,357,509.55</w:t>
            </w:r>
          </w:p>
        </w:tc>
        <w:tc>
          <w:tcPr>
            <w:tcW w:w="2016"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8,795,815.94</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General and administrative expenses</w:t>
      </w:r>
    </w:p>
    <w:tbl>
      <w:tblPr>
        <w:tblW w:w="9456" w:type="dxa"/>
        <w:tblInd w:w="-437" w:type="dxa"/>
        <w:tblLayout w:type="fixed"/>
        <w:tblLook w:val="04A0" w:firstRow="1" w:lastRow="0" w:firstColumn="1" w:lastColumn="0" w:noHBand="0" w:noVBand="1"/>
      </w:tblPr>
      <w:tblGrid>
        <w:gridCol w:w="1922"/>
        <w:gridCol w:w="1918"/>
        <w:gridCol w:w="1848"/>
        <w:gridCol w:w="1764"/>
        <w:gridCol w:w="2004"/>
      </w:tblGrid>
      <w:tr w:rsidR="000B609E">
        <w:trPr>
          <w:trHeight w:val="270"/>
          <w:tblHeader/>
        </w:trPr>
        <w:tc>
          <w:tcPr>
            <w:tcW w:w="1922"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766" w:type="dxa"/>
            <w:gridSpan w:val="2"/>
            <w:tcBorders>
              <w:top w:val="doub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768"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00"/>
          <w:tblHeader/>
        </w:trPr>
        <w:tc>
          <w:tcPr>
            <w:tcW w:w="1922"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91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8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c>
          <w:tcPr>
            <w:tcW w:w="176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2004"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trPr>
          <w:trHeight w:hRule="exact" w:val="454"/>
        </w:trPr>
        <w:tc>
          <w:tcPr>
            <w:tcW w:w="192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Operation expense</w:t>
            </w:r>
          </w:p>
        </w:tc>
        <w:tc>
          <w:tcPr>
            <w:tcW w:w="191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Arial Unicode MS" w:hAnsi="Arial Narrow"/>
                <w:color w:val="000000"/>
                <w:sz w:val="20"/>
                <w:szCs w:val="20"/>
              </w:rPr>
              <w:t>108,352,782.00</w:t>
            </w:r>
          </w:p>
        </w:tc>
        <w:tc>
          <w:tcPr>
            <w:tcW w:w="18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96,139,648.79 </w:t>
            </w:r>
          </w:p>
        </w:tc>
        <w:tc>
          <w:tcPr>
            <w:tcW w:w="176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Arial Unicode MS" w:hAnsi="Arial Narrow"/>
                <w:color w:val="000000"/>
                <w:sz w:val="20"/>
                <w:szCs w:val="20"/>
              </w:rPr>
              <w:t>104,607,588.85</w:t>
            </w:r>
          </w:p>
        </w:tc>
        <w:tc>
          <w:tcPr>
            <w:tcW w:w="20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sz w:val="20"/>
                <w:szCs w:val="20"/>
              </w:rPr>
              <w:t xml:space="preserve"> 93,349,233.74 </w:t>
            </w:r>
          </w:p>
        </w:tc>
      </w:tr>
      <w:tr w:rsidR="000B609E">
        <w:trPr>
          <w:trHeight w:hRule="exact" w:val="454"/>
        </w:trPr>
        <w:tc>
          <w:tcPr>
            <w:tcW w:w="192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Employee expense</w:t>
            </w:r>
          </w:p>
        </w:tc>
        <w:tc>
          <w:tcPr>
            <w:tcW w:w="191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Arial Unicode MS" w:hAnsi="Arial Narrow"/>
                <w:color w:val="000000"/>
                <w:sz w:val="20"/>
                <w:szCs w:val="20"/>
              </w:rPr>
              <w:t>190,092,150.52</w:t>
            </w:r>
          </w:p>
        </w:tc>
        <w:tc>
          <w:tcPr>
            <w:tcW w:w="18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178,826,980.80 </w:t>
            </w:r>
          </w:p>
        </w:tc>
        <w:tc>
          <w:tcPr>
            <w:tcW w:w="176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Arial Unicode MS" w:hAnsi="Arial Narrow"/>
                <w:color w:val="000000"/>
                <w:sz w:val="20"/>
                <w:szCs w:val="20"/>
              </w:rPr>
              <w:t>183,355,083.74</w:t>
            </w:r>
          </w:p>
        </w:tc>
        <w:tc>
          <w:tcPr>
            <w:tcW w:w="20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 xml:space="preserve"> 172,213,545.85 </w:t>
            </w:r>
          </w:p>
        </w:tc>
      </w:tr>
      <w:tr w:rsidR="000B609E">
        <w:trPr>
          <w:trHeight w:hRule="exact" w:val="907"/>
        </w:trPr>
        <w:tc>
          <w:tcPr>
            <w:tcW w:w="192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Depreciation of fixed asset</w:t>
            </w:r>
            <w:r>
              <w:rPr>
                <w:rFonts w:ascii="Times New Roman" w:eastAsia="宋体" w:hAnsi="Times New Roman" w:cs="Times New Roman" w:hint="eastAsia"/>
                <w:kern w:val="0"/>
                <w:sz w:val="18"/>
                <w:szCs w:val="18"/>
              </w:rPr>
              <w:t>s</w:t>
            </w:r>
          </w:p>
        </w:tc>
        <w:tc>
          <w:tcPr>
            <w:tcW w:w="191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Arial Unicode MS" w:hAnsi="Arial Narrow"/>
                <w:color w:val="000000"/>
                <w:sz w:val="20"/>
                <w:szCs w:val="20"/>
              </w:rPr>
              <w:t>27,234,817.00</w:t>
            </w:r>
          </w:p>
        </w:tc>
        <w:tc>
          <w:tcPr>
            <w:tcW w:w="18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26,721,275.47 </w:t>
            </w:r>
          </w:p>
        </w:tc>
        <w:tc>
          <w:tcPr>
            <w:tcW w:w="176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Arial Unicode MS" w:hAnsi="Arial Narrow"/>
                <w:color w:val="000000"/>
                <w:sz w:val="20"/>
                <w:szCs w:val="20"/>
              </w:rPr>
              <w:t>26,087,858.66</w:t>
            </w:r>
          </w:p>
        </w:tc>
        <w:tc>
          <w:tcPr>
            <w:tcW w:w="20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 xml:space="preserve"> 25,499,851.80 </w:t>
            </w:r>
          </w:p>
        </w:tc>
      </w:tr>
      <w:tr w:rsidR="000B609E">
        <w:trPr>
          <w:trHeight w:hRule="exact" w:val="907"/>
        </w:trPr>
        <w:tc>
          <w:tcPr>
            <w:tcW w:w="1922"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Amortization of intangible asset</w:t>
            </w:r>
            <w:r>
              <w:rPr>
                <w:rFonts w:ascii="Times New Roman" w:eastAsia="宋体" w:hAnsi="Times New Roman" w:cs="Times New Roman" w:hint="eastAsia"/>
                <w:kern w:val="0"/>
                <w:sz w:val="18"/>
                <w:szCs w:val="18"/>
              </w:rPr>
              <w:t>s</w:t>
            </w:r>
            <w:r>
              <w:rPr>
                <w:rFonts w:ascii="Times New Roman" w:eastAsia="宋体" w:hAnsi="Times New Roman" w:cs="Times New Roman"/>
                <w:kern w:val="0"/>
                <w:sz w:val="18"/>
                <w:szCs w:val="18"/>
              </w:rPr>
              <w:t xml:space="preserve"> </w:t>
            </w:r>
          </w:p>
        </w:tc>
        <w:tc>
          <w:tcPr>
            <w:tcW w:w="191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Arial Unicode MS" w:hAnsi="Arial Narrow"/>
                <w:color w:val="000000"/>
                <w:sz w:val="20"/>
                <w:szCs w:val="20"/>
              </w:rPr>
              <w:t>1,549,754.04</w:t>
            </w:r>
          </w:p>
        </w:tc>
        <w:tc>
          <w:tcPr>
            <w:tcW w:w="18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1,358,510.51 </w:t>
            </w:r>
          </w:p>
        </w:tc>
        <w:tc>
          <w:tcPr>
            <w:tcW w:w="176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Arial Unicode MS" w:hAnsi="Arial Narrow"/>
                <w:color w:val="000000"/>
                <w:sz w:val="20"/>
                <w:szCs w:val="20"/>
              </w:rPr>
              <w:t>1,320,697.49</w:t>
            </w:r>
          </w:p>
        </w:tc>
        <w:tc>
          <w:tcPr>
            <w:tcW w:w="200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 xml:space="preserve"> 1,358,510.51 </w:t>
            </w:r>
          </w:p>
        </w:tc>
      </w:tr>
      <w:tr w:rsidR="000B609E">
        <w:trPr>
          <w:trHeight w:hRule="exact" w:val="454"/>
        </w:trPr>
        <w:tc>
          <w:tcPr>
            <w:tcW w:w="1922"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918"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Arial Unicode MS" w:hAnsi="Arial Narrow"/>
                <w:b/>
                <w:color w:val="000000"/>
                <w:sz w:val="20"/>
                <w:szCs w:val="20"/>
              </w:rPr>
              <w:t>327,229,503.56</w:t>
            </w:r>
          </w:p>
        </w:tc>
        <w:tc>
          <w:tcPr>
            <w:tcW w:w="1848"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303,046,415.57 </w:t>
            </w:r>
          </w:p>
        </w:tc>
        <w:tc>
          <w:tcPr>
            <w:tcW w:w="176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Arial Unicode MS" w:hAnsi="Arial Narrow"/>
                <w:b/>
                <w:color w:val="000000"/>
                <w:sz w:val="20"/>
                <w:szCs w:val="20"/>
              </w:rPr>
              <w:t>315,371,228.74</w:t>
            </w:r>
          </w:p>
        </w:tc>
        <w:tc>
          <w:tcPr>
            <w:tcW w:w="2004"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hint="eastAsia"/>
                <w:b/>
                <w:bCs/>
                <w:sz w:val="20"/>
                <w:szCs w:val="20"/>
              </w:rPr>
              <w:t xml:space="preserve"> 292,421,141.90 </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Expected credit loss</w:t>
      </w:r>
      <w:r>
        <w:rPr>
          <w:rFonts w:ascii="Times New Roman" w:hAnsi="Times New Roman" w:cs="Times New Roman" w:hint="eastAsia"/>
          <w:sz w:val="24"/>
          <w:szCs w:val="24"/>
        </w:rPr>
        <w:t>（</w:t>
      </w:r>
      <w:r>
        <w:rPr>
          <w:rFonts w:ascii="Times New Roman" w:hAnsi="Times New Roman" w:cs="Times New Roman" w:hint="eastAsia"/>
          <w:sz w:val="24"/>
          <w:szCs w:val="24"/>
        </w:rPr>
        <w:t>Losses are listed as "-"</w:t>
      </w:r>
      <w:r>
        <w:rPr>
          <w:rFonts w:ascii="Times New Roman" w:hAnsi="Times New Roman" w:cs="Times New Roman" w:hint="eastAsia"/>
          <w:sz w:val="24"/>
          <w:szCs w:val="24"/>
        </w:rPr>
        <w:t>）</w:t>
      </w:r>
    </w:p>
    <w:tbl>
      <w:tblPr>
        <w:tblW w:w="9442" w:type="dxa"/>
        <w:tblInd w:w="-448" w:type="dxa"/>
        <w:tblBorders>
          <w:top w:val="double" w:sz="4" w:space="0" w:color="auto"/>
          <w:bottom w:val="double" w:sz="4" w:space="0" w:color="auto"/>
          <w:insideH w:val="single" w:sz="2" w:space="0" w:color="auto"/>
          <w:insideV w:val="single" w:sz="2" w:space="0" w:color="auto"/>
        </w:tblBorders>
        <w:tblLayout w:type="fixed"/>
        <w:tblLook w:val="04A0" w:firstRow="1" w:lastRow="0" w:firstColumn="1" w:lastColumn="0" w:noHBand="0" w:noVBand="1"/>
      </w:tblPr>
      <w:tblGrid>
        <w:gridCol w:w="2776"/>
        <w:gridCol w:w="1877"/>
        <w:gridCol w:w="1600"/>
        <w:gridCol w:w="1523"/>
        <w:gridCol w:w="1666"/>
      </w:tblGrid>
      <w:tr w:rsidR="000B609E">
        <w:trPr>
          <w:trHeight w:val="340"/>
          <w:tblHeader/>
        </w:trPr>
        <w:tc>
          <w:tcPr>
            <w:tcW w:w="2776" w:type="dxa"/>
            <w:vMerge w:val="restart"/>
            <w:tcBorders>
              <w:tl2br w:val="nil"/>
              <w:tr2bl w:val="nil"/>
            </w:tcBorders>
            <w:vAlign w:val="center"/>
          </w:tcPr>
          <w:p w:rsidR="000B609E" w:rsidRDefault="00B220E1">
            <w:pPr>
              <w:spacing w:afterLines="0" w:after="0"/>
              <w:ind w:firstLineChars="0" w:firstLine="0"/>
              <w:jc w:val="center"/>
              <w:rPr>
                <w:rFonts w:ascii="Arial" w:hAnsi="Arial" w:cs="Arial"/>
                <w:b/>
                <w:color w:val="000000"/>
              </w:rPr>
            </w:pPr>
            <w:r>
              <w:rPr>
                <w:rFonts w:ascii="Times New Roman" w:eastAsia="宋体" w:hAnsi="Times New Roman" w:cs="Times New Roman"/>
                <w:b/>
                <w:bCs/>
                <w:color w:val="000000"/>
                <w:kern w:val="0"/>
                <w:sz w:val="18"/>
                <w:szCs w:val="18"/>
              </w:rPr>
              <w:t>Items</w:t>
            </w:r>
          </w:p>
        </w:tc>
        <w:tc>
          <w:tcPr>
            <w:tcW w:w="3477" w:type="dxa"/>
            <w:gridSpan w:val="2"/>
            <w:tcBorders>
              <w:tl2br w:val="nil"/>
              <w:tr2bl w:val="nil"/>
            </w:tcBorders>
            <w:vAlign w:val="center"/>
          </w:tcPr>
          <w:p w:rsidR="000B609E" w:rsidRDefault="00B220E1">
            <w:pPr>
              <w:spacing w:afterLines="0" w:after="0"/>
              <w:ind w:firstLine="361"/>
              <w:jc w:val="center"/>
              <w:rPr>
                <w:rFonts w:ascii="Arial Narrow" w:hAnsi="Arial Narrow"/>
                <w:b/>
              </w:rPr>
            </w:pPr>
            <w:r>
              <w:rPr>
                <w:rFonts w:ascii="Times New Roman" w:eastAsia="宋体" w:hAnsi="Times New Roman" w:cs="Times New Roman"/>
                <w:b/>
                <w:bCs/>
                <w:color w:val="000000"/>
                <w:kern w:val="0"/>
                <w:sz w:val="18"/>
                <w:szCs w:val="18"/>
              </w:rPr>
              <w:t>Group</w:t>
            </w:r>
          </w:p>
        </w:tc>
        <w:tc>
          <w:tcPr>
            <w:tcW w:w="3189" w:type="dxa"/>
            <w:gridSpan w:val="2"/>
            <w:tcBorders>
              <w:tl2br w:val="nil"/>
              <w:tr2bl w:val="nil"/>
            </w:tcBorders>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Bank</w:t>
            </w:r>
          </w:p>
        </w:tc>
      </w:tr>
      <w:tr w:rsidR="000B609E">
        <w:trPr>
          <w:trHeight w:val="340"/>
        </w:trPr>
        <w:tc>
          <w:tcPr>
            <w:tcW w:w="2776" w:type="dxa"/>
            <w:vMerge/>
            <w:tcBorders>
              <w:tl2br w:val="nil"/>
              <w:tr2bl w:val="nil"/>
            </w:tcBorders>
            <w:vAlign w:val="center"/>
          </w:tcPr>
          <w:p w:rsidR="000B609E" w:rsidRDefault="000B609E">
            <w:pPr>
              <w:spacing w:afterLines="0" w:after="0"/>
              <w:ind w:firstLine="420"/>
              <w:rPr>
                <w:rFonts w:ascii="Arial" w:hAnsi="Arial" w:cs="Arial"/>
              </w:rPr>
            </w:pPr>
          </w:p>
        </w:tc>
        <w:tc>
          <w:tcPr>
            <w:tcW w:w="1877" w:type="dxa"/>
            <w:tcBorders>
              <w:tl2br w:val="nil"/>
              <w:tr2bl w:val="nil"/>
            </w:tcBorders>
            <w:shd w:val="clear" w:color="auto" w:fill="auto"/>
            <w:vAlign w:val="center"/>
          </w:tcPr>
          <w:p w:rsidR="000B609E" w:rsidRDefault="00B220E1">
            <w:pPr>
              <w:spacing w:afterLines="0" w:after="0"/>
              <w:ind w:firstLine="361"/>
              <w:jc w:val="center"/>
              <w:rPr>
                <w:rFonts w:ascii="Arial Narrow" w:hAnsi="Arial Narrow" w:cs="Arial Narrow"/>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600" w:type="dxa"/>
            <w:tcBorders>
              <w:tl2br w:val="nil"/>
              <w:tr2bl w:val="nil"/>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2019</w:t>
            </w:r>
          </w:p>
        </w:tc>
        <w:tc>
          <w:tcPr>
            <w:tcW w:w="1523" w:type="dxa"/>
            <w:tcBorders>
              <w:tl2br w:val="nil"/>
              <w:tr2bl w:val="nil"/>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666" w:type="dxa"/>
            <w:tcBorders>
              <w:tl2br w:val="nil"/>
              <w:tr2bl w:val="nil"/>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2019</w:t>
            </w:r>
          </w:p>
        </w:tc>
      </w:tr>
      <w:tr w:rsidR="000B609E">
        <w:trPr>
          <w:trHeight w:hRule="exact" w:val="454"/>
        </w:trPr>
        <w:tc>
          <w:tcPr>
            <w:tcW w:w="2776" w:type="dxa"/>
            <w:tcBorders>
              <w:tl2br w:val="nil"/>
              <w:tr2bl w:val="nil"/>
            </w:tcBorders>
            <w:vAlign w:val="center"/>
          </w:tcPr>
          <w:p w:rsidR="000B609E" w:rsidRDefault="00B220E1">
            <w:pPr>
              <w:spacing w:afterLines="0" w:after="0"/>
              <w:ind w:firstLineChars="0" w:firstLine="0"/>
              <w:rPr>
                <w:rFonts w:ascii="Arial" w:hAnsi="Arial" w:cs="Arial"/>
              </w:rPr>
            </w:pPr>
            <w:r>
              <w:rPr>
                <w:rFonts w:ascii="Times New Roman" w:eastAsia="宋体" w:hAnsi="Times New Roman" w:cs="Times New Roman" w:hint="eastAsia"/>
                <w:kern w:val="0"/>
                <w:sz w:val="18"/>
                <w:szCs w:val="18"/>
              </w:rPr>
              <w:t>Loans and advances to customers</w:t>
            </w:r>
          </w:p>
        </w:tc>
        <w:tc>
          <w:tcPr>
            <w:tcW w:w="1877"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r>
              <w:rPr>
                <w:rFonts w:ascii="Arial Narrow" w:hAnsi="Arial Narrow" w:cs="宋体"/>
                <w:color w:val="000000"/>
                <w:sz w:val="20"/>
                <w:szCs w:val="20"/>
              </w:rPr>
              <w:t>174,878,159.97</w:t>
            </w:r>
          </w:p>
        </w:tc>
        <w:tc>
          <w:tcPr>
            <w:tcW w:w="1600"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 xml:space="preserve">-151,011,217.36 </w:t>
            </w:r>
          </w:p>
        </w:tc>
        <w:tc>
          <w:tcPr>
            <w:tcW w:w="1523"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cs="宋体" w:hint="eastAsia"/>
                <w:color w:val="000000"/>
                <w:sz w:val="20"/>
                <w:szCs w:val="20"/>
              </w:rPr>
              <w:t>-</w:t>
            </w:r>
            <w:r>
              <w:rPr>
                <w:rFonts w:ascii="Arial Narrow" w:hAnsi="Arial Narrow" w:cs="宋体"/>
                <w:color w:val="000000"/>
                <w:sz w:val="20"/>
                <w:szCs w:val="20"/>
              </w:rPr>
              <w:t>169,754,180.63</w:t>
            </w:r>
          </w:p>
        </w:tc>
        <w:tc>
          <w:tcPr>
            <w:tcW w:w="1666"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 xml:space="preserve">-150,592,929.58 </w:t>
            </w:r>
          </w:p>
        </w:tc>
      </w:tr>
      <w:tr w:rsidR="000B609E">
        <w:trPr>
          <w:trHeight w:hRule="exact" w:val="454"/>
        </w:trPr>
        <w:tc>
          <w:tcPr>
            <w:tcW w:w="2776"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Lending funds</w:t>
            </w:r>
          </w:p>
        </w:tc>
        <w:tc>
          <w:tcPr>
            <w:tcW w:w="1877" w:type="dxa"/>
            <w:tcBorders>
              <w:tl2br w:val="nil"/>
              <w:tr2bl w:val="nil"/>
            </w:tcBorders>
            <w:vAlign w:val="center"/>
          </w:tcPr>
          <w:p w:rsidR="000B609E" w:rsidRDefault="000B609E">
            <w:pPr>
              <w:spacing w:afterLines="0" w:after="0"/>
              <w:ind w:firstLineChars="0" w:firstLine="0"/>
              <w:jc w:val="right"/>
              <w:rPr>
                <w:rFonts w:ascii="Arial Narrow" w:hAnsi="Arial Narrow"/>
                <w:color w:val="000000"/>
                <w:sz w:val="20"/>
                <w:szCs w:val="20"/>
              </w:rPr>
            </w:pPr>
          </w:p>
        </w:tc>
        <w:tc>
          <w:tcPr>
            <w:tcW w:w="1600"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 xml:space="preserve"> -76,111,558.60 </w:t>
            </w:r>
          </w:p>
        </w:tc>
        <w:tc>
          <w:tcPr>
            <w:tcW w:w="1523" w:type="dxa"/>
            <w:tcBorders>
              <w:tl2br w:val="nil"/>
              <w:tr2bl w:val="nil"/>
            </w:tcBorders>
            <w:vAlign w:val="center"/>
          </w:tcPr>
          <w:p w:rsidR="000B609E" w:rsidRDefault="000B609E">
            <w:pPr>
              <w:spacing w:afterLines="0" w:after="0"/>
              <w:ind w:firstLineChars="0" w:firstLine="0"/>
              <w:jc w:val="right"/>
              <w:rPr>
                <w:rFonts w:ascii="Arial Narrow" w:hAnsi="Arial Narrow"/>
                <w:color w:val="000000"/>
                <w:sz w:val="20"/>
                <w:szCs w:val="20"/>
              </w:rPr>
            </w:pPr>
          </w:p>
        </w:tc>
        <w:tc>
          <w:tcPr>
            <w:tcW w:w="1666"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 xml:space="preserve"> -76,111,558.60 </w:t>
            </w:r>
          </w:p>
        </w:tc>
      </w:tr>
      <w:tr w:rsidR="000B609E">
        <w:trPr>
          <w:trHeight w:hRule="exact" w:val="710"/>
        </w:trPr>
        <w:tc>
          <w:tcPr>
            <w:tcW w:w="2776" w:type="dxa"/>
            <w:tcBorders>
              <w:tl2br w:val="nil"/>
              <w:tr2bl w:val="nil"/>
            </w:tcBorders>
            <w:vAlign w:val="center"/>
          </w:tcPr>
          <w:p w:rsidR="000B609E" w:rsidRDefault="00B220E1">
            <w:pPr>
              <w:spacing w:afterLines="0" w:after="0"/>
              <w:ind w:firstLineChars="0" w:firstLine="0"/>
              <w:rPr>
                <w:rFonts w:ascii="Arial" w:hAnsi="Arial" w:cs="Arial"/>
              </w:rPr>
            </w:pPr>
            <w:r>
              <w:rPr>
                <w:rFonts w:ascii="Times New Roman" w:eastAsia="宋体" w:hAnsi="Times New Roman" w:cs="Times New Roman" w:hint="eastAsia"/>
                <w:kern w:val="0"/>
                <w:sz w:val="18"/>
                <w:szCs w:val="18"/>
              </w:rPr>
              <w:lastRenderedPageBreak/>
              <w:t xml:space="preserve">Due from banks and other financial institutions </w:t>
            </w:r>
          </w:p>
        </w:tc>
        <w:tc>
          <w:tcPr>
            <w:tcW w:w="1877"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r>
              <w:rPr>
                <w:rFonts w:ascii="Arial Narrow" w:hAnsi="Arial Narrow" w:cs="宋体"/>
                <w:color w:val="000000"/>
                <w:sz w:val="20"/>
                <w:szCs w:val="20"/>
              </w:rPr>
              <w:t>63,530.61</w:t>
            </w:r>
          </w:p>
        </w:tc>
        <w:tc>
          <w:tcPr>
            <w:tcW w:w="1600" w:type="dxa"/>
            <w:tcBorders>
              <w:tl2br w:val="nil"/>
              <w:tr2bl w:val="nil"/>
            </w:tcBorders>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523"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cs="宋体" w:hint="eastAsia"/>
                <w:color w:val="000000"/>
                <w:sz w:val="20"/>
                <w:szCs w:val="20"/>
              </w:rPr>
              <w:t>-</w:t>
            </w:r>
            <w:r>
              <w:rPr>
                <w:rFonts w:ascii="Arial Narrow" w:hAnsi="Arial Narrow" w:cs="宋体"/>
                <w:color w:val="000000"/>
                <w:sz w:val="20"/>
                <w:szCs w:val="20"/>
              </w:rPr>
              <w:t>63,530.61</w:t>
            </w:r>
          </w:p>
        </w:tc>
        <w:tc>
          <w:tcPr>
            <w:tcW w:w="1666" w:type="dxa"/>
            <w:tcBorders>
              <w:tl2br w:val="nil"/>
              <w:tr2bl w:val="nil"/>
            </w:tcBorders>
            <w:vAlign w:val="center"/>
          </w:tcPr>
          <w:p w:rsidR="000B609E" w:rsidRDefault="00DF783A">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w:t>
            </w:r>
          </w:p>
        </w:tc>
      </w:tr>
      <w:tr w:rsidR="000B609E">
        <w:trPr>
          <w:trHeight w:hRule="exact" w:val="907"/>
        </w:trPr>
        <w:tc>
          <w:tcPr>
            <w:tcW w:w="2776" w:type="dxa"/>
            <w:tcBorders>
              <w:tl2br w:val="nil"/>
              <w:tr2bl w:val="nil"/>
            </w:tcBorders>
            <w:vAlign w:val="center"/>
          </w:tcPr>
          <w:p w:rsidR="000B609E" w:rsidRDefault="00B220E1">
            <w:pPr>
              <w:spacing w:afterLines="0" w:after="0"/>
              <w:ind w:firstLineChars="0" w:firstLine="0"/>
              <w:rPr>
                <w:rFonts w:ascii="Arial" w:hAnsi="Arial" w:cs="Arial"/>
              </w:rPr>
            </w:pPr>
            <w:r>
              <w:rPr>
                <w:rFonts w:ascii="Times New Roman" w:eastAsia="宋体" w:hAnsi="Times New Roman" w:cs="Times New Roman" w:hint="eastAsia"/>
                <w:kern w:val="0"/>
                <w:sz w:val="18"/>
                <w:szCs w:val="18"/>
              </w:rPr>
              <w:t>Financial assets purchased under resale agreements</w:t>
            </w:r>
          </w:p>
        </w:tc>
        <w:tc>
          <w:tcPr>
            <w:tcW w:w="1877"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p>
        </w:tc>
        <w:tc>
          <w:tcPr>
            <w:tcW w:w="1600" w:type="dxa"/>
            <w:tcBorders>
              <w:tl2br w:val="nil"/>
              <w:tr2bl w:val="nil"/>
            </w:tcBorders>
            <w:vAlign w:val="center"/>
          </w:tcPr>
          <w:p w:rsidR="000B609E" w:rsidRDefault="00D8552F">
            <w:pPr>
              <w:spacing w:afterLines="0" w:after="0"/>
              <w:ind w:firstLineChars="0" w:firstLine="0"/>
              <w:jc w:val="right"/>
              <w:rPr>
                <w:rFonts w:ascii="Arial Narrow" w:eastAsia="宋体" w:hAnsi="Arial Narrow" w:cs="Arial Narrow"/>
                <w:snapToGrid w:val="0"/>
                <w:kern w:val="0"/>
                <w:sz w:val="20"/>
                <w:szCs w:val="20"/>
              </w:rPr>
            </w:pPr>
            <w:r w:rsidRPr="00D8552F">
              <w:rPr>
                <w:rFonts w:ascii="Arial Narrow" w:eastAsia="宋体" w:hAnsi="Arial Narrow" w:cs="Arial Narrow"/>
                <w:snapToGrid w:val="0"/>
                <w:kern w:val="0"/>
                <w:sz w:val="20"/>
                <w:szCs w:val="20"/>
              </w:rPr>
              <w:t>32,333,500.00</w:t>
            </w:r>
          </w:p>
        </w:tc>
        <w:tc>
          <w:tcPr>
            <w:tcW w:w="1523" w:type="dxa"/>
            <w:tcBorders>
              <w:tl2br w:val="nil"/>
              <w:tr2bl w:val="nil"/>
            </w:tcBorders>
            <w:vAlign w:val="center"/>
          </w:tcPr>
          <w:p w:rsidR="000B609E" w:rsidRDefault="00DF783A">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w:t>
            </w:r>
          </w:p>
        </w:tc>
        <w:tc>
          <w:tcPr>
            <w:tcW w:w="1666"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cs="宋体" w:hint="eastAsia"/>
                <w:color w:val="000000"/>
                <w:sz w:val="20"/>
                <w:szCs w:val="20"/>
              </w:rPr>
              <w:t xml:space="preserve"> 32,333,500.00 </w:t>
            </w:r>
          </w:p>
        </w:tc>
      </w:tr>
      <w:tr w:rsidR="000B609E">
        <w:trPr>
          <w:trHeight w:hRule="exact" w:val="907"/>
        </w:trPr>
        <w:tc>
          <w:tcPr>
            <w:tcW w:w="2776" w:type="dxa"/>
            <w:tcBorders>
              <w:tl2br w:val="nil"/>
              <w:tr2bl w:val="nil"/>
            </w:tcBorders>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Other debt investments</w:t>
            </w:r>
          </w:p>
        </w:tc>
        <w:tc>
          <w:tcPr>
            <w:tcW w:w="1877"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r>
              <w:rPr>
                <w:rFonts w:ascii="Arial Narrow" w:hAnsi="Arial Narrow" w:cs="宋体"/>
                <w:color w:val="000000"/>
                <w:sz w:val="20"/>
                <w:szCs w:val="20"/>
              </w:rPr>
              <w:t>293,660.08</w:t>
            </w:r>
          </w:p>
        </w:tc>
        <w:tc>
          <w:tcPr>
            <w:tcW w:w="1600" w:type="dxa"/>
            <w:tcBorders>
              <w:tl2br w:val="nil"/>
              <w:tr2bl w:val="nil"/>
            </w:tcBorders>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523"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cs="宋体" w:hint="eastAsia"/>
                <w:color w:val="000000"/>
                <w:sz w:val="20"/>
                <w:szCs w:val="20"/>
              </w:rPr>
              <w:t>-</w:t>
            </w:r>
            <w:r>
              <w:rPr>
                <w:rFonts w:ascii="Arial Narrow" w:hAnsi="Arial Narrow" w:cs="宋体"/>
                <w:color w:val="000000"/>
                <w:sz w:val="20"/>
                <w:szCs w:val="20"/>
              </w:rPr>
              <w:t>293,660.08</w:t>
            </w:r>
          </w:p>
        </w:tc>
        <w:tc>
          <w:tcPr>
            <w:tcW w:w="1666" w:type="dxa"/>
            <w:tcBorders>
              <w:tl2br w:val="nil"/>
              <w:tr2bl w:val="nil"/>
            </w:tcBorders>
            <w:vAlign w:val="center"/>
          </w:tcPr>
          <w:p w:rsidR="000B609E" w:rsidRDefault="00DF783A">
            <w:pPr>
              <w:spacing w:afterLines="0" w:after="0"/>
              <w:ind w:firstLineChars="0" w:firstLine="0"/>
              <w:jc w:val="right"/>
              <w:rPr>
                <w:rFonts w:ascii="Arial Narrow" w:hAnsi="Arial Narrow"/>
                <w:color w:val="000000"/>
                <w:sz w:val="20"/>
                <w:szCs w:val="20"/>
              </w:rPr>
            </w:pPr>
            <w:r>
              <w:rPr>
                <w:rFonts w:ascii="Arial Narrow" w:hAnsi="Arial Narrow" w:hint="eastAsia"/>
                <w:color w:val="000000"/>
                <w:sz w:val="20"/>
                <w:szCs w:val="20"/>
              </w:rPr>
              <w:t>-</w:t>
            </w:r>
          </w:p>
        </w:tc>
      </w:tr>
      <w:tr w:rsidR="000B609E">
        <w:trPr>
          <w:trHeight w:hRule="exact" w:val="454"/>
        </w:trPr>
        <w:tc>
          <w:tcPr>
            <w:tcW w:w="2776" w:type="dxa"/>
            <w:tcBorders>
              <w:tl2br w:val="nil"/>
              <w:tr2bl w:val="nil"/>
            </w:tcBorders>
            <w:vAlign w:val="center"/>
          </w:tcPr>
          <w:p w:rsidR="000B609E" w:rsidRDefault="00B220E1">
            <w:pPr>
              <w:spacing w:afterLines="0" w:after="0"/>
              <w:ind w:firstLineChars="0" w:firstLine="0"/>
              <w:rPr>
                <w:rFonts w:ascii="Arial" w:hAnsi="Arial" w:cs="Arial"/>
              </w:rPr>
            </w:pPr>
            <w:r>
              <w:rPr>
                <w:rFonts w:ascii="Times New Roman" w:eastAsia="宋体" w:hAnsi="Times New Roman" w:cs="Times New Roman" w:hint="eastAsia"/>
                <w:kern w:val="0"/>
                <w:sz w:val="18"/>
                <w:szCs w:val="18"/>
              </w:rPr>
              <w:t>Off -balance sheet credit assets</w:t>
            </w:r>
          </w:p>
        </w:tc>
        <w:tc>
          <w:tcPr>
            <w:tcW w:w="1877"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3,710,720.90</w:t>
            </w:r>
          </w:p>
        </w:tc>
        <w:tc>
          <w:tcPr>
            <w:tcW w:w="1600"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hint="eastAsia"/>
                <w:color w:val="000000"/>
                <w:sz w:val="20"/>
                <w:szCs w:val="20"/>
              </w:rPr>
              <w:t xml:space="preserve"> -411,432.16</w:t>
            </w:r>
          </w:p>
        </w:tc>
        <w:tc>
          <w:tcPr>
            <w:tcW w:w="1523" w:type="dxa"/>
            <w:tcBorders>
              <w:tl2br w:val="nil"/>
              <w:tr2bl w:val="nil"/>
            </w:tcBorders>
            <w:vAlign w:val="center"/>
          </w:tcPr>
          <w:p w:rsidR="000B609E" w:rsidRDefault="00B220E1">
            <w:pPr>
              <w:spacing w:afterLines="0" w:after="0"/>
              <w:ind w:firstLineChars="0" w:firstLine="0"/>
              <w:jc w:val="right"/>
              <w:rPr>
                <w:rFonts w:ascii="Arial Narrow" w:hAnsi="Arial Narrow" w:cs="宋体"/>
                <w:color w:val="000000"/>
                <w:sz w:val="20"/>
                <w:szCs w:val="20"/>
              </w:rPr>
            </w:pPr>
            <w:r>
              <w:rPr>
                <w:rFonts w:ascii="Arial Narrow" w:hAnsi="Arial Narrow" w:cs="宋体"/>
                <w:color w:val="000000"/>
                <w:sz w:val="20"/>
                <w:szCs w:val="20"/>
              </w:rPr>
              <w:t>3,710,720.90</w:t>
            </w:r>
          </w:p>
        </w:tc>
        <w:tc>
          <w:tcPr>
            <w:tcW w:w="1666" w:type="dxa"/>
            <w:tcBorders>
              <w:tl2br w:val="nil"/>
              <w:tr2bl w:val="nil"/>
            </w:tcBorders>
            <w:vAlign w:val="center"/>
          </w:tcPr>
          <w:p w:rsidR="000B609E" w:rsidRDefault="00B220E1">
            <w:pPr>
              <w:spacing w:afterLines="0" w:after="0"/>
              <w:ind w:firstLineChars="0" w:firstLine="0"/>
              <w:jc w:val="right"/>
              <w:rPr>
                <w:rFonts w:ascii="Arial Narrow" w:hAnsi="Arial Narrow" w:cs="宋体"/>
                <w:color w:val="000000"/>
                <w:sz w:val="20"/>
                <w:szCs w:val="20"/>
              </w:rPr>
            </w:pPr>
            <w:r>
              <w:rPr>
                <w:rFonts w:ascii="Arial Narrow" w:hAnsi="Arial Narrow" w:cs="宋体" w:hint="eastAsia"/>
                <w:color w:val="000000"/>
                <w:sz w:val="20"/>
                <w:szCs w:val="20"/>
              </w:rPr>
              <w:t xml:space="preserve"> -411,432.16</w:t>
            </w:r>
          </w:p>
        </w:tc>
      </w:tr>
      <w:tr w:rsidR="000B609E">
        <w:trPr>
          <w:trHeight w:hRule="exact" w:val="454"/>
        </w:trPr>
        <w:tc>
          <w:tcPr>
            <w:tcW w:w="2776" w:type="dxa"/>
            <w:tcBorders>
              <w:tl2br w:val="nil"/>
              <w:tr2bl w:val="nil"/>
            </w:tcBorders>
            <w:vAlign w:val="center"/>
          </w:tcPr>
          <w:p w:rsidR="000B609E" w:rsidRDefault="00B220E1">
            <w:pPr>
              <w:spacing w:afterLines="0" w:after="0"/>
              <w:ind w:firstLineChars="0" w:firstLine="0"/>
              <w:rPr>
                <w:rFonts w:ascii="Arial" w:eastAsia="宋体" w:hAnsi="Arial" w:cs="Arial"/>
                <w:bCs/>
              </w:rPr>
            </w:pPr>
            <w:r>
              <w:rPr>
                <w:rFonts w:ascii="Times New Roman" w:eastAsia="宋体" w:hAnsi="Times New Roman" w:cs="Times New Roman" w:hint="eastAsia"/>
                <w:kern w:val="0"/>
                <w:sz w:val="18"/>
                <w:szCs w:val="18"/>
              </w:rPr>
              <w:t>Debt</w:t>
            </w:r>
            <w:r>
              <w:rPr>
                <w:rFonts w:ascii="Times New Roman" w:eastAsia="宋体" w:hAnsi="Times New Roman" w:cs="Times New Roman" w:hint="eastAsia"/>
                <w:kern w:val="0"/>
                <w:sz w:val="18"/>
                <w:szCs w:val="18"/>
              </w:rPr>
              <w:t> </w:t>
            </w:r>
            <w:r>
              <w:rPr>
                <w:rFonts w:ascii="Times New Roman" w:eastAsia="宋体" w:hAnsi="Times New Roman" w:cs="Times New Roman" w:hint="eastAsia"/>
                <w:kern w:val="0"/>
                <w:sz w:val="18"/>
                <w:szCs w:val="18"/>
              </w:rPr>
              <w:t>investments</w:t>
            </w:r>
          </w:p>
        </w:tc>
        <w:tc>
          <w:tcPr>
            <w:tcW w:w="1877"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r>
              <w:rPr>
                <w:rFonts w:ascii="Arial Narrow" w:hAnsi="Arial Narrow" w:cs="宋体"/>
                <w:color w:val="000000"/>
                <w:sz w:val="20"/>
                <w:szCs w:val="20"/>
              </w:rPr>
              <w:t>3,145,212.70</w:t>
            </w:r>
          </w:p>
        </w:tc>
        <w:tc>
          <w:tcPr>
            <w:tcW w:w="1600"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hint="eastAsia"/>
                <w:color w:val="000000"/>
                <w:sz w:val="20"/>
                <w:szCs w:val="20"/>
              </w:rPr>
              <w:t>17,960,822.47</w:t>
            </w:r>
          </w:p>
        </w:tc>
        <w:tc>
          <w:tcPr>
            <w:tcW w:w="1523"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cs="宋体" w:hint="eastAsia"/>
                <w:color w:val="000000"/>
                <w:sz w:val="20"/>
                <w:szCs w:val="20"/>
              </w:rPr>
              <w:t>-</w:t>
            </w:r>
            <w:r>
              <w:rPr>
                <w:rFonts w:ascii="Arial Narrow" w:hAnsi="Arial Narrow" w:cs="宋体"/>
                <w:color w:val="000000"/>
                <w:sz w:val="20"/>
                <w:szCs w:val="20"/>
              </w:rPr>
              <w:t>3,145,212.70</w:t>
            </w:r>
          </w:p>
        </w:tc>
        <w:tc>
          <w:tcPr>
            <w:tcW w:w="1666" w:type="dxa"/>
            <w:tcBorders>
              <w:tl2br w:val="nil"/>
              <w:tr2bl w:val="nil"/>
            </w:tcBorders>
            <w:vAlign w:val="center"/>
          </w:tcPr>
          <w:p w:rsidR="000B609E" w:rsidRDefault="00B220E1">
            <w:pPr>
              <w:spacing w:afterLines="0" w:after="0"/>
              <w:ind w:firstLineChars="0" w:firstLine="0"/>
              <w:jc w:val="right"/>
              <w:rPr>
                <w:rFonts w:ascii="Arial Narrow" w:hAnsi="Arial Narrow"/>
                <w:color w:val="000000"/>
                <w:sz w:val="20"/>
                <w:szCs w:val="20"/>
              </w:rPr>
            </w:pPr>
            <w:r>
              <w:rPr>
                <w:rFonts w:ascii="Arial Narrow" w:hAnsi="Arial Narrow" w:cs="宋体" w:hint="eastAsia"/>
                <w:color w:val="000000"/>
                <w:sz w:val="20"/>
                <w:szCs w:val="20"/>
              </w:rPr>
              <w:t xml:space="preserve">17,960,822.47 </w:t>
            </w:r>
          </w:p>
        </w:tc>
      </w:tr>
      <w:tr w:rsidR="000B609E">
        <w:trPr>
          <w:trHeight w:hRule="exact" w:val="454"/>
        </w:trPr>
        <w:tc>
          <w:tcPr>
            <w:tcW w:w="2776" w:type="dxa"/>
            <w:tcBorders>
              <w:tl2br w:val="nil"/>
              <w:tr2bl w:val="nil"/>
            </w:tcBorders>
            <w:vAlign w:val="center"/>
          </w:tcPr>
          <w:p w:rsidR="000B609E" w:rsidRDefault="00B220E1">
            <w:pPr>
              <w:spacing w:afterLines="0" w:after="0"/>
              <w:ind w:firstLineChars="0" w:firstLine="0"/>
              <w:rPr>
                <w:rFonts w:ascii="Arial" w:hAnsi="Arial" w:cs="Arial"/>
                <w:bCs/>
              </w:rPr>
            </w:pPr>
            <w:r>
              <w:rPr>
                <w:rFonts w:ascii="Times New Roman" w:eastAsia="宋体" w:hAnsi="Times New Roman" w:cs="Times New Roman" w:hint="eastAsia"/>
                <w:kern w:val="0"/>
                <w:sz w:val="18"/>
                <w:szCs w:val="18"/>
              </w:rPr>
              <w:t>Other assets</w:t>
            </w:r>
          </w:p>
        </w:tc>
        <w:tc>
          <w:tcPr>
            <w:tcW w:w="1877"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2,124,610.84</w:t>
            </w:r>
          </w:p>
        </w:tc>
        <w:tc>
          <w:tcPr>
            <w:tcW w:w="1600"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hint="eastAsia"/>
                <w:color w:val="000000"/>
                <w:sz w:val="20"/>
                <w:szCs w:val="20"/>
              </w:rPr>
              <w:t>14,923,680.39</w:t>
            </w:r>
          </w:p>
        </w:tc>
        <w:tc>
          <w:tcPr>
            <w:tcW w:w="1523" w:type="dxa"/>
            <w:tcBorders>
              <w:tl2br w:val="nil"/>
              <w:tr2bl w:val="nil"/>
            </w:tcBorders>
            <w:vAlign w:val="center"/>
          </w:tcPr>
          <w:p w:rsidR="000B609E" w:rsidRDefault="00B220E1">
            <w:pPr>
              <w:spacing w:afterLines="0" w:after="0"/>
              <w:ind w:firstLineChars="0" w:firstLine="0"/>
              <w:jc w:val="right"/>
              <w:rPr>
                <w:rFonts w:ascii="Arial Narrow" w:hAnsi="Arial Narrow" w:cs="宋体"/>
                <w:color w:val="000000"/>
                <w:sz w:val="20"/>
                <w:szCs w:val="20"/>
              </w:rPr>
            </w:pPr>
            <w:r>
              <w:rPr>
                <w:rFonts w:ascii="Arial Narrow" w:hAnsi="Arial Narrow" w:cs="宋体"/>
                <w:color w:val="000000"/>
                <w:sz w:val="20"/>
                <w:szCs w:val="20"/>
              </w:rPr>
              <w:t>2,124,610.84</w:t>
            </w:r>
          </w:p>
        </w:tc>
        <w:tc>
          <w:tcPr>
            <w:tcW w:w="1666" w:type="dxa"/>
            <w:tcBorders>
              <w:tl2br w:val="nil"/>
              <w:tr2bl w:val="nil"/>
            </w:tcBorders>
            <w:vAlign w:val="center"/>
          </w:tcPr>
          <w:p w:rsidR="000B609E" w:rsidRDefault="00B220E1">
            <w:pPr>
              <w:spacing w:afterLines="0" w:after="0"/>
              <w:ind w:firstLineChars="0" w:firstLine="0"/>
              <w:jc w:val="right"/>
              <w:rPr>
                <w:rFonts w:ascii="Arial Narrow" w:hAnsi="Arial Narrow" w:cs="宋体"/>
                <w:color w:val="000000"/>
                <w:sz w:val="20"/>
                <w:szCs w:val="20"/>
              </w:rPr>
            </w:pPr>
            <w:r>
              <w:rPr>
                <w:rFonts w:ascii="Arial Narrow" w:hAnsi="Arial Narrow" w:cs="宋体" w:hint="eastAsia"/>
                <w:color w:val="000000"/>
                <w:sz w:val="20"/>
                <w:szCs w:val="20"/>
              </w:rPr>
              <w:t>14,923,680.39</w:t>
            </w:r>
          </w:p>
        </w:tc>
      </w:tr>
      <w:tr w:rsidR="000B609E">
        <w:trPr>
          <w:trHeight w:hRule="exact" w:val="454"/>
        </w:trPr>
        <w:tc>
          <w:tcPr>
            <w:tcW w:w="2776" w:type="dxa"/>
            <w:tcBorders>
              <w:tl2br w:val="nil"/>
              <w:tr2bl w:val="nil"/>
            </w:tcBorders>
            <w:vAlign w:val="center"/>
          </w:tcPr>
          <w:p w:rsidR="000B609E" w:rsidRDefault="00B220E1">
            <w:pPr>
              <w:spacing w:afterLines="0" w:after="0"/>
              <w:ind w:firstLineChars="0" w:firstLine="0"/>
              <w:jc w:val="center"/>
              <w:rPr>
                <w:rFonts w:ascii="Arial" w:hAnsi="Arial" w:cs="Arial"/>
                <w:b/>
              </w:rPr>
            </w:pPr>
            <w:r>
              <w:rPr>
                <w:rFonts w:ascii="Times New Roman" w:eastAsia="宋体" w:hAnsi="Times New Roman" w:cs="Times New Roman"/>
                <w:b/>
                <w:kern w:val="0"/>
                <w:sz w:val="18"/>
                <w:szCs w:val="18"/>
              </w:rPr>
              <w:t>Total</w:t>
            </w:r>
          </w:p>
        </w:tc>
        <w:tc>
          <w:tcPr>
            <w:tcW w:w="1877"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hint="eastAsia"/>
                <w:b/>
                <w:bCs/>
                <w:color w:val="000000"/>
                <w:sz w:val="20"/>
                <w:szCs w:val="20"/>
              </w:rPr>
              <w:t>-</w:t>
            </w:r>
            <w:r>
              <w:rPr>
                <w:rFonts w:ascii="Arial Narrow" w:hAnsi="Arial Narrow" w:cs="宋体"/>
                <w:b/>
                <w:bCs/>
                <w:color w:val="000000"/>
                <w:sz w:val="20"/>
                <w:szCs w:val="20"/>
              </w:rPr>
              <w:t>172,545,231.62</w:t>
            </w:r>
          </w:p>
        </w:tc>
        <w:tc>
          <w:tcPr>
            <w:tcW w:w="1600" w:type="dxa"/>
            <w:tcBorders>
              <w:tl2br w:val="nil"/>
              <w:tr2bl w:val="nil"/>
            </w:tcBorders>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hint="eastAsia"/>
                <w:b/>
                <w:bCs/>
                <w:color w:val="000000"/>
                <w:sz w:val="20"/>
                <w:szCs w:val="20"/>
              </w:rPr>
              <w:t>-162,316,205.26</w:t>
            </w:r>
          </w:p>
        </w:tc>
        <w:tc>
          <w:tcPr>
            <w:tcW w:w="1523" w:type="dxa"/>
            <w:tcBorders>
              <w:tl2br w:val="nil"/>
              <w:tr2bl w:val="nil"/>
            </w:tcBorders>
            <w:vAlign w:val="center"/>
          </w:tcPr>
          <w:p w:rsidR="000B609E" w:rsidRDefault="00B220E1">
            <w:pPr>
              <w:spacing w:afterLines="0" w:after="0"/>
              <w:ind w:firstLineChars="0" w:firstLine="0"/>
              <w:jc w:val="right"/>
              <w:rPr>
                <w:rFonts w:ascii="Arial Narrow" w:hAnsi="Arial Narrow"/>
                <w:b/>
                <w:bCs/>
                <w:color w:val="000000"/>
                <w:sz w:val="20"/>
                <w:szCs w:val="20"/>
              </w:rPr>
            </w:pPr>
            <w:r>
              <w:rPr>
                <w:rFonts w:ascii="Arial Narrow" w:hAnsi="Arial Narrow" w:cs="宋体" w:hint="eastAsia"/>
                <w:b/>
                <w:bCs/>
                <w:color w:val="000000"/>
                <w:sz w:val="20"/>
                <w:szCs w:val="20"/>
              </w:rPr>
              <w:t>-</w:t>
            </w:r>
            <w:r>
              <w:rPr>
                <w:rFonts w:ascii="Arial Narrow" w:hAnsi="Arial Narrow" w:cs="宋体"/>
                <w:b/>
                <w:bCs/>
                <w:color w:val="000000"/>
                <w:sz w:val="20"/>
                <w:szCs w:val="20"/>
              </w:rPr>
              <w:t>167,421,252.28</w:t>
            </w:r>
          </w:p>
        </w:tc>
        <w:tc>
          <w:tcPr>
            <w:tcW w:w="1666" w:type="dxa"/>
            <w:tcBorders>
              <w:tl2br w:val="nil"/>
              <w:tr2bl w:val="nil"/>
            </w:tcBorders>
            <w:vAlign w:val="center"/>
          </w:tcPr>
          <w:p w:rsidR="000B609E" w:rsidRDefault="00B220E1">
            <w:pPr>
              <w:spacing w:afterLines="0" w:after="0"/>
              <w:ind w:firstLineChars="0" w:firstLine="0"/>
              <w:jc w:val="right"/>
              <w:rPr>
                <w:rFonts w:ascii="Arial Narrow" w:hAnsi="Arial Narrow"/>
                <w:b/>
                <w:bCs/>
                <w:color w:val="000000"/>
                <w:sz w:val="20"/>
                <w:szCs w:val="20"/>
              </w:rPr>
            </w:pPr>
            <w:r>
              <w:rPr>
                <w:rFonts w:ascii="Arial Narrow" w:hAnsi="Arial Narrow" w:cs="宋体" w:hint="eastAsia"/>
                <w:b/>
                <w:bCs/>
                <w:color w:val="000000"/>
                <w:sz w:val="20"/>
                <w:szCs w:val="20"/>
              </w:rPr>
              <w:t>-161,897,917.48</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Other operating expenses</w:t>
      </w:r>
    </w:p>
    <w:tbl>
      <w:tblPr>
        <w:tblW w:w="9384" w:type="dxa"/>
        <w:tblInd w:w="-425" w:type="dxa"/>
        <w:tblLayout w:type="fixed"/>
        <w:tblLook w:val="04A0" w:firstRow="1" w:lastRow="0" w:firstColumn="1" w:lastColumn="0" w:noHBand="0" w:noVBand="1"/>
      </w:tblPr>
      <w:tblGrid>
        <w:gridCol w:w="2409"/>
        <w:gridCol w:w="1887"/>
        <w:gridCol w:w="1548"/>
        <w:gridCol w:w="1824"/>
        <w:gridCol w:w="1716"/>
      </w:tblGrid>
      <w:tr w:rsidR="000B609E">
        <w:trPr>
          <w:trHeight w:val="308"/>
          <w:tblHeader/>
        </w:trPr>
        <w:tc>
          <w:tcPr>
            <w:tcW w:w="2409"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435" w:type="dxa"/>
            <w:gridSpan w:val="2"/>
            <w:tcBorders>
              <w:top w:val="doub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540"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42"/>
          <w:tblHeader/>
        </w:trPr>
        <w:tc>
          <w:tcPr>
            <w:tcW w:w="2409"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88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5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c>
          <w:tcPr>
            <w:tcW w:w="182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p>
        </w:tc>
        <w:tc>
          <w:tcPr>
            <w:tcW w:w="1716"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trPr>
          <w:trHeight w:hRule="exact" w:val="907"/>
        </w:trPr>
        <w:tc>
          <w:tcPr>
            <w:tcW w:w="2409"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Amortization of Investment real estate</w:t>
            </w:r>
          </w:p>
        </w:tc>
        <w:tc>
          <w:tcPr>
            <w:tcW w:w="1887"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1,490,375.72</w:t>
            </w:r>
          </w:p>
        </w:tc>
        <w:tc>
          <w:tcPr>
            <w:tcW w:w="154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1,490,375.76</w:t>
            </w:r>
          </w:p>
        </w:tc>
        <w:tc>
          <w:tcPr>
            <w:tcW w:w="182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1,490,375.72</w:t>
            </w:r>
          </w:p>
        </w:tc>
        <w:tc>
          <w:tcPr>
            <w:tcW w:w="171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1,490,375.76</w:t>
            </w:r>
          </w:p>
        </w:tc>
      </w:tr>
      <w:tr w:rsidR="000B609E">
        <w:trPr>
          <w:trHeight w:hRule="exact" w:val="454"/>
        </w:trPr>
        <w:tc>
          <w:tcPr>
            <w:tcW w:w="2409"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kern w:val="0"/>
                <w:sz w:val="18"/>
                <w:szCs w:val="18"/>
              </w:rPr>
            </w:pPr>
            <w:r>
              <w:rPr>
                <w:rFonts w:ascii="Times New Roman" w:eastAsia="宋体" w:hAnsi="Times New Roman" w:cs="Times New Roman"/>
                <w:b/>
                <w:bCs/>
                <w:kern w:val="0"/>
                <w:sz w:val="18"/>
                <w:szCs w:val="18"/>
              </w:rPr>
              <w:t>Total</w:t>
            </w:r>
          </w:p>
        </w:tc>
        <w:tc>
          <w:tcPr>
            <w:tcW w:w="1887"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sz w:val="20"/>
                <w:szCs w:val="20"/>
              </w:rPr>
              <w:t>1,490,375.72</w:t>
            </w:r>
          </w:p>
        </w:tc>
        <w:tc>
          <w:tcPr>
            <w:tcW w:w="1548"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1,490,375.76</w:t>
            </w:r>
          </w:p>
        </w:tc>
        <w:tc>
          <w:tcPr>
            <w:tcW w:w="182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sz w:val="20"/>
                <w:szCs w:val="20"/>
              </w:rPr>
              <w:t>1,490,375.72</w:t>
            </w:r>
          </w:p>
        </w:tc>
        <w:tc>
          <w:tcPr>
            <w:tcW w:w="1716"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1,490,375.76</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Non-operating income/expenditure</w:t>
      </w:r>
    </w:p>
    <w:p w:rsidR="000B609E" w:rsidRDefault="00B220E1">
      <w:pPr>
        <w:pStyle w:val="11"/>
        <w:numPr>
          <w:ilvl w:val="0"/>
          <w:numId w:val="34"/>
        </w:numPr>
        <w:spacing w:after="156"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Non-operating income</w:t>
      </w:r>
    </w:p>
    <w:tbl>
      <w:tblPr>
        <w:tblW w:w="9283" w:type="dxa"/>
        <w:jc w:val="center"/>
        <w:tblLayout w:type="fixed"/>
        <w:tblLook w:val="04A0" w:firstRow="1" w:lastRow="0" w:firstColumn="1" w:lastColumn="0" w:noHBand="0" w:noVBand="1"/>
      </w:tblPr>
      <w:tblGrid>
        <w:gridCol w:w="2465"/>
        <w:gridCol w:w="1692"/>
        <w:gridCol w:w="1714"/>
        <w:gridCol w:w="1694"/>
        <w:gridCol w:w="1718"/>
      </w:tblGrid>
      <w:tr w:rsidR="000B609E">
        <w:trPr>
          <w:trHeight w:val="297"/>
          <w:tblHeader/>
          <w:jc w:val="center"/>
        </w:trPr>
        <w:tc>
          <w:tcPr>
            <w:tcW w:w="2465"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406" w:type="dxa"/>
            <w:gridSpan w:val="2"/>
            <w:tcBorders>
              <w:top w:val="doub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412"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30"/>
          <w:tblHeader/>
          <w:jc w:val="center"/>
        </w:trPr>
        <w:tc>
          <w:tcPr>
            <w:tcW w:w="2465"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69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71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c>
          <w:tcPr>
            <w:tcW w:w="169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p>
        </w:tc>
        <w:tc>
          <w:tcPr>
            <w:tcW w:w="1718"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trPr>
          <w:trHeight w:hRule="exact" w:val="454"/>
          <w:jc w:val="center"/>
        </w:trPr>
        <w:tc>
          <w:tcPr>
            <w:tcW w:w="2465"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Amount</w:t>
            </w:r>
            <w:r>
              <w:rPr>
                <w:rFonts w:ascii="Times New Roman" w:eastAsia="宋体" w:hAnsi="Times New Roman" w:cs="Times New Roman" w:hint="eastAsia"/>
                <w:kern w:val="0"/>
                <w:sz w:val="18"/>
                <w:szCs w:val="18"/>
              </w:rPr>
              <w:t>s</w:t>
            </w:r>
            <w:r>
              <w:rPr>
                <w:rFonts w:ascii="Times New Roman" w:eastAsia="宋体" w:hAnsi="Times New Roman" w:cs="Times New Roman"/>
                <w:kern w:val="0"/>
                <w:sz w:val="18"/>
                <w:szCs w:val="18"/>
              </w:rPr>
              <w:t xml:space="preserve"> do not need to pay</w:t>
            </w:r>
          </w:p>
        </w:tc>
        <w:tc>
          <w:tcPr>
            <w:tcW w:w="169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3,599,028.61</w:t>
            </w:r>
          </w:p>
        </w:tc>
        <w:tc>
          <w:tcPr>
            <w:tcW w:w="171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161,829.56 </w:t>
            </w:r>
          </w:p>
        </w:tc>
        <w:tc>
          <w:tcPr>
            <w:tcW w:w="169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3,599,028.61</w:t>
            </w:r>
          </w:p>
        </w:tc>
        <w:tc>
          <w:tcPr>
            <w:tcW w:w="171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161,829.56</w:t>
            </w:r>
          </w:p>
        </w:tc>
      </w:tr>
      <w:tr w:rsidR="000B609E">
        <w:trPr>
          <w:trHeight w:hRule="exact" w:val="454"/>
          <w:jc w:val="center"/>
        </w:trPr>
        <w:tc>
          <w:tcPr>
            <w:tcW w:w="2465"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Others</w:t>
            </w:r>
          </w:p>
        </w:tc>
        <w:tc>
          <w:tcPr>
            <w:tcW w:w="169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ab/>
              <w:t>284,592.03</w:t>
            </w:r>
          </w:p>
        </w:tc>
        <w:tc>
          <w:tcPr>
            <w:tcW w:w="171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98,880.67 </w:t>
            </w:r>
          </w:p>
        </w:tc>
        <w:tc>
          <w:tcPr>
            <w:tcW w:w="169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142,812.49</w:t>
            </w:r>
          </w:p>
        </w:tc>
        <w:tc>
          <w:tcPr>
            <w:tcW w:w="1718"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20,122.50 </w:t>
            </w:r>
          </w:p>
        </w:tc>
      </w:tr>
      <w:tr w:rsidR="000B609E">
        <w:trPr>
          <w:trHeight w:hRule="exact" w:val="454"/>
          <w:jc w:val="center"/>
        </w:trPr>
        <w:tc>
          <w:tcPr>
            <w:tcW w:w="2465"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69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bCs/>
                <w:color w:val="000000"/>
                <w:sz w:val="20"/>
                <w:szCs w:val="20"/>
              </w:rPr>
              <w:t>3,883,620.64</w:t>
            </w:r>
          </w:p>
        </w:tc>
        <w:tc>
          <w:tcPr>
            <w:tcW w:w="171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260,710.23</w:t>
            </w:r>
          </w:p>
        </w:tc>
        <w:tc>
          <w:tcPr>
            <w:tcW w:w="1694"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bCs/>
                <w:color w:val="000000"/>
                <w:sz w:val="20"/>
                <w:szCs w:val="20"/>
              </w:rPr>
              <w:t>3,741,841.10</w:t>
            </w:r>
          </w:p>
        </w:tc>
        <w:tc>
          <w:tcPr>
            <w:tcW w:w="1718"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181,952.06</w:t>
            </w:r>
          </w:p>
        </w:tc>
      </w:tr>
    </w:tbl>
    <w:p w:rsidR="000B609E" w:rsidRDefault="00B220E1">
      <w:pPr>
        <w:pStyle w:val="11"/>
        <w:numPr>
          <w:ilvl w:val="0"/>
          <w:numId w:val="34"/>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Non-operating expenditure</w:t>
      </w:r>
    </w:p>
    <w:tbl>
      <w:tblPr>
        <w:tblW w:w="9241" w:type="dxa"/>
        <w:jc w:val="center"/>
        <w:tblLayout w:type="fixed"/>
        <w:tblLook w:val="04A0" w:firstRow="1" w:lastRow="0" w:firstColumn="1" w:lastColumn="0" w:noHBand="0" w:noVBand="1"/>
      </w:tblPr>
      <w:tblGrid>
        <w:gridCol w:w="2427"/>
        <w:gridCol w:w="1708"/>
        <w:gridCol w:w="1729"/>
        <w:gridCol w:w="1668"/>
        <w:gridCol w:w="1709"/>
      </w:tblGrid>
      <w:tr w:rsidR="000B609E">
        <w:trPr>
          <w:trHeight w:val="270"/>
          <w:tblHeader/>
          <w:jc w:val="center"/>
        </w:trPr>
        <w:tc>
          <w:tcPr>
            <w:tcW w:w="2427"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437"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377"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00"/>
          <w:tblHeader/>
          <w:jc w:val="center"/>
        </w:trPr>
        <w:tc>
          <w:tcPr>
            <w:tcW w:w="2427"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70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72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c>
          <w:tcPr>
            <w:tcW w:w="166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p>
        </w:tc>
        <w:tc>
          <w:tcPr>
            <w:tcW w:w="1709"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trPr>
          <w:trHeight w:hRule="exact" w:val="454"/>
          <w:jc w:val="center"/>
        </w:trPr>
        <w:tc>
          <w:tcPr>
            <w:tcW w:w="242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Penalty &amp; overdue </w:t>
            </w:r>
            <w:r>
              <w:rPr>
                <w:rFonts w:ascii="Times New Roman" w:eastAsia="宋体" w:hAnsi="Times New Roman" w:cs="Times New Roman" w:hint="eastAsia"/>
                <w:kern w:val="0"/>
                <w:sz w:val="18"/>
                <w:szCs w:val="18"/>
              </w:rPr>
              <w:t>fee</w:t>
            </w:r>
          </w:p>
        </w:tc>
        <w:tc>
          <w:tcPr>
            <w:tcW w:w="170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 xml:space="preserve">      </w:t>
            </w:r>
            <w:r>
              <w:rPr>
                <w:rFonts w:ascii="Arial Narrow" w:hAnsi="Arial Narrow" w:cs="宋体"/>
                <w:color w:val="000000"/>
                <w:sz w:val="20"/>
                <w:szCs w:val="20"/>
              </w:rPr>
              <w:t>250,050.00</w:t>
            </w:r>
          </w:p>
        </w:tc>
        <w:tc>
          <w:tcPr>
            <w:tcW w:w="172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1,711,067.37 </w:t>
            </w:r>
          </w:p>
        </w:tc>
        <w:tc>
          <w:tcPr>
            <w:tcW w:w="166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250,000.00</w:t>
            </w:r>
          </w:p>
        </w:tc>
        <w:tc>
          <w:tcPr>
            <w:tcW w:w="170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1,711,067.37</w:t>
            </w:r>
          </w:p>
        </w:tc>
      </w:tr>
      <w:tr w:rsidR="000B609E">
        <w:trPr>
          <w:trHeight w:hRule="exact" w:val="454"/>
          <w:jc w:val="center"/>
        </w:trPr>
        <w:tc>
          <w:tcPr>
            <w:tcW w:w="242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lastRenderedPageBreak/>
              <w:t>Donations</w:t>
            </w:r>
          </w:p>
        </w:tc>
        <w:tc>
          <w:tcPr>
            <w:tcW w:w="170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2,645,349.80</w:t>
            </w:r>
          </w:p>
        </w:tc>
        <w:tc>
          <w:tcPr>
            <w:tcW w:w="172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814,277.24 </w:t>
            </w:r>
          </w:p>
        </w:tc>
        <w:tc>
          <w:tcPr>
            <w:tcW w:w="166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2,645,349.80</w:t>
            </w:r>
          </w:p>
        </w:tc>
        <w:tc>
          <w:tcPr>
            <w:tcW w:w="170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814,277.24</w:t>
            </w:r>
          </w:p>
        </w:tc>
      </w:tr>
      <w:tr w:rsidR="000B609E">
        <w:trPr>
          <w:trHeight w:hRule="exact" w:val="454"/>
          <w:jc w:val="center"/>
        </w:trPr>
        <w:tc>
          <w:tcPr>
            <w:tcW w:w="242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Others</w:t>
            </w:r>
          </w:p>
        </w:tc>
        <w:tc>
          <w:tcPr>
            <w:tcW w:w="170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73,290.16</w:t>
            </w:r>
          </w:p>
        </w:tc>
        <w:tc>
          <w:tcPr>
            <w:tcW w:w="1729"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345,785.79 </w:t>
            </w:r>
          </w:p>
        </w:tc>
        <w:tc>
          <w:tcPr>
            <w:tcW w:w="166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28,518.13</w:t>
            </w:r>
          </w:p>
        </w:tc>
        <w:tc>
          <w:tcPr>
            <w:tcW w:w="1709"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327,437.21</w:t>
            </w:r>
          </w:p>
        </w:tc>
      </w:tr>
      <w:tr w:rsidR="000B609E">
        <w:trPr>
          <w:trHeight w:hRule="exact" w:val="454"/>
          <w:jc w:val="center"/>
        </w:trPr>
        <w:tc>
          <w:tcPr>
            <w:tcW w:w="2427"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350" w:firstLine="632"/>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708"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bCs/>
                <w:color w:val="000000"/>
                <w:sz w:val="20"/>
                <w:szCs w:val="20"/>
              </w:rPr>
              <w:t>2,968,689.96</w:t>
            </w:r>
          </w:p>
        </w:tc>
        <w:tc>
          <w:tcPr>
            <w:tcW w:w="1729"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2,871,130.40</w:t>
            </w:r>
          </w:p>
        </w:tc>
        <w:tc>
          <w:tcPr>
            <w:tcW w:w="1668"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hint="eastAsia"/>
                <w:b/>
                <w:bCs/>
                <w:color w:val="000000"/>
                <w:sz w:val="20"/>
                <w:szCs w:val="20"/>
              </w:rPr>
              <w:t xml:space="preserve">    </w:t>
            </w:r>
            <w:r>
              <w:rPr>
                <w:rFonts w:ascii="Arial Narrow" w:hAnsi="Arial Narrow" w:cs="宋体"/>
                <w:b/>
                <w:bCs/>
                <w:color w:val="000000"/>
                <w:sz w:val="20"/>
                <w:szCs w:val="20"/>
              </w:rPr>
              <w:t>2,923,867.93</w:t>
            </w:r>
            <w:r>
              <w:rPr>
                <w:rFonts w:ascii="Arial Narrow" w:hAnsi="Arial Narrow" w:hint="eastAsia"/>
                <w:b/>
                <w:bCs/>
                <w:color w:val="000000"/>
                <w:sz w:val="20"/>
                <w:szCs w:val="20"/>
              </w:rPr>
              <w:t> </w:t>
            </w:r>
          </w:p>
        </w:tc>
        <w:tc>
          <w:tcPr>
            <w:tcW w:w="1709" w:type="dxa"/>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2,852,781.82</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Income tax expense</w:t>
      </w:r>
    </w:p>
    <w:tbl>
      <w:tblPr>
        <w:tblW w:w="9263" w:type="dxa"/>
        <w:tblInd w:w="-363" w:type="dxa"/>
        <w:tblLayout w:type="fixed"/>
        <w:tblLook w:val="04A0" w:firstRow="1" w:lastRow="0" w:firstColumn="1" w:lastColumn="0" w:noHBand="0" w:noVBand="1"/>
      </w:tblPr>
      <w:tblGrid>
        <w:gridCol w:w="2340"/>
        <w:gridCol w:w="1710"/>
        <w:gridCol w:w="1558"/>
        <w:gridCol w:w="1701"/>
        <w:gridCol w:w="1943"/>
        <w:gridCol w:w="11"/>
      </w:tblGrid>
      <w:tr w:rsidR="000B609E">
        <w:trPr>
          <w:gridAfter w:val="1"/>
          <w:wAfter w:w="11" w:type="dxa"/>
          <w:trHeight w:val="270"/>
          <w:tblHeader/>
        </w:trPr>
        <w:tc>
          <w:tcPr>
            <w:tcW w:w="2340"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268" w:type="dxa"/>
            <w:gridSpan w:val="2"/>
            <w:tcBorders>
              <w:top w:val="double" w:sz="4" w:space="0" w:color="auto"/>
              <w:left w:val="nil"/>
              <w:bottom w:val="single" w:sz="4" w:space="0" w:color="auto"/>
              <w:right w:val="single" w:sz="4" w:space="0" w:color="000000"/>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644"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gridAfter w:val="1"/>
          <w:wAfter w:w="11" w:type="dxa"/>
          <w:trHeight w:val="300"/>
          <w:tblHeader/>
        </w:trPr>
        <w:tc>
          <w:tcPr>
            <w:tcW w:w="2340"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71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c>
          <w:tcPr>
            <w:tcW w:w="170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p>
        </w:tc>
        <w:tc>
          <w:tcPr>
            <w:tcW w:w="1943"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trPr>
          <w:trHeight w:hRule="exact" w:val="454"/>
        </w:trPr>
        <w:tc>
          <w:tcPr>
            <w:tcW w:w="2340"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Current income tax expense</w:t>
            </w:r>
          </w:p>
        </w:tc>
        <w:tc>
          <w:tcPr>
            <w:tcW w:w="171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82,107,071.78</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53,178,921.90 </w:t>
            </w:r>
          </w:p>
        </w:tc>
        <w:tc>
          <w:tcPr>
            <w:tcW w:w="170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80,842,107.80</w:t>
            </w:r>
          </w:p>
        </w:tc>
        <w:tc>
          <w:tcPr>
            <w:tcW w:w="1954" w:type="dxa"/>
            <w:gridSpan w:val="2"/>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51,664,154.88</w:t>
            </w:r>
          </w:p>
        </w:tc>
      </w:tr>
      <w:tr w:rsidR="000B609E">
        <w:trPr>
          <w:trHeight w:hRule="exact" w:val="454"/>
        </w:trPr>
        <w:tc>
          <w:tcPr>
            <w:tcW w:w="2340"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Deferred income tax expense</w:t>
            </w:r>
          </w:p>
        </w:tc>
        <w:tc>
          <w:tcPr>
            <w:tcW w:w="1710"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-36,268,182.68</w:t>
            </w:r>
          </w:p>
        </w:tc>
        <w:tc>
          <w:tcPr>
            <w:tcW w:w="1558"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15,586,999.83 </w:t>
            </w:r>
          </w:p>
        </w:tc>
        <w:tc>
          <w:tcPr>
            <w:tcW w:w="1701"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sz w:val="20"/>
                <w:szCs w:val="20"/>
              </w:rPr>
              <w:t>-37,009,048.16</w:t>
            </w:r>
          </w:p>
        </w:tc>
        <w:tc>
          <w:tcPr>
            <w:tcW w:w="1954" w:type="dxa"/>
            <w:gridSpan w:val="2"/>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12,524,209.27</w:t>
            </w:r>
          </w:p>
        </w:tc>
      </w:tr>
      <w:tr w:rsidR="000B609E">
        <w:trPr>
          <w:trHeight w:hRule="exact" w:val="454"/>
        </w:trPr>
        <w:tc>
          <w:tcPr>
            <w:tcW w:w="2340"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710"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45,838,889.09</w:t>
            </w:r>
          </w:p>
        </w:tc>
        <w:tc>
          <w:tcPr>
            <w:tcW w:w="1558"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68,765,921.73 </w:t>
            </w:r>
          </w:p>
        </w:tc>
        <w:tc>
          <w:tcPr>
            <w:tcW w:w="1701"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b/>
                <w:bCs/>
                <w:sz w:val="20"/>
                <w:szCs w:val="20"/>
              </w:rPr>
              <w:t>43,833,059.63</w:t>
            </w:r>
          </w:p>
        </w:tc>
        <w:tc>
          <w:tcPr>
            <w:tcW w:w="1954" w:type="dxa"/>
            <w:gridSpan w:val="2"/>
            <w:tcBorders>
              <w:top w:val="nil"/>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64,188,364.15</w:t>
            </w:r>
          </w:p>
        </w:tc>
      </w:tr>
    </w:tbl>
    <w:p w:rsidR="000B609E" w:rsidRDefault="00B220E1">
      <w:pPr>
        <w:pStyle w:val="21"/>
        <w:numPr>
          <w:ilvl w:val="0"/>
          <w:numId w:val="31"/>
        </w:numPr>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Cash and cash equivalent</w:t>
      </w:r>
    </w:p>
    <w:tbl>
      <w:tblPr>
        <w:tblW w:w="9264" w:type="dxa"/>
        <w:tblInd w:w="-363" w:type="dxa"/>
        <w:tblLayout w:type="fixed"/>
        <w:tblLook w:val="04A0" w:firstRow="1" w:lastRow="0" w:firstColumn="1" w:lastColumn="0" w:noHBand="0" w:noVBand="1"/>
      </w:tblPr>
      <w:tblGrid>
        <w:gridCol w:w="1783"/>
        <w:gridCol w:w="1842"/>
        <w:gridCol w:w="1842"/>
        <w:gridCol w:w="1842"/>
        <w:gridCol w:w="1955"/>
      </w:tblGrid>
      <w:tr w:rsidR="000B609E">
        <w:trPr>
          <w:trHeight w:val="300"/>
          <w:tblHeader/>
        </w:trPr>
        <w:tc>
          <w:tcPr>
            <w:tcW w:w="1783"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684" w:type="dxa"/>
            <w:gridSpan w:val="2"/>
            <w:tcBorders>
              <w:top w:val="doub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797"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Bank</w:t>
            </w:r>
          </w:p>
        </w:tc>
      </w:tr>
      <w:tr w:rsidR="000B609E">
        <w:trPr>
          <w:trHeight w:val="334"/>
          <w:tblHeader/>
        </w:trPr>
        <w:tc>
          <w:tcPr>
            <w:tcW w:w="1783"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r>
              <w:rPr>
                <w:rFonts w:ascii="Times New Roman" w:eastAsia="宋体" w:hAnsi="Times New Roman" w:cs="Times New Roman"/>
                <w:b/>
                <w:kern w:val="0"/>
                <w:sz w:val="18"/>
                <w:szCs w:val="18"/>
              </w:rPr>
              <w:t>-12-31</w:t>
            </w:r>
          </w:p>
        </w:tc>
        <w:tc>
          <w:tcPr>
            <w:tcW w:w="1955"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w w:val="9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r>
              <w:rPr>
                <w:rFonts w:ascii="Times New Roman" w:eastAsia="宋体" w:hAnsi="Times New Roman" w:cs="Times New Roman"/>
                <w:b/>
                <w:kern w:val="0"/>
                <w:sz w:val="18"/>
                <w:szCs w:val="18"/>
              </w:rPr>
              <w:t>-12-31</w:t>
            </w:r>
          </w:p>
        </w:tc>
      </w:tr>
      <w:tr w:rsidR="000B609E">
        <w:trPr>
          <w:trHeight w:hRule="exact" w:val="454"/>
        </w:trPr>
        <w:tc>
          <w:tcPr>
            <w:tcW w:w="178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b/>
                <w:iCs/>
                <w:kern w:val="0"/>
                <w:sz w:val="18"/>
                <w:szCs w:val="18"/>
              </w:rPr>
            </w:pPr>
            <w:r>
              <w:rPr>
                <w:rFonts w:ascii="Times New Roman" w:eastAsia="宋体" w:hAnsi="Times New Roman" w:cs="Times New Roman"/>
                <w:b/>
                <w:iCs/>
                <w:kern w:val="0"/>
                <w:sz w:val="18"/>
                <w:szCs w:val="18"/>
              </w:rPr>
              <w:t>Cash</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1,000,291,343.31</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1,306,561,335.27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963,306,789.46</w:t>
            </w:r>
          </w:p>
        </w:tc>
        <w:tc>
          <w:tcPr>
            <w:tcW w:w="1955"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1,279,524,134.00 </w:t>
            </w:r>
          </w:p>
        </w:tc>
      </w:tr>
      <w:tr w:rsidR="000B609E">
        <w:trPr>
          <w:trHeight w:hRule="exact" w:val="454"/>
        </w:trPr>
        <w:tc>
          <w:tcPr>
            <w:tcW w:w="178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-Cash on hand</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128,398,833.94</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144,551,335.13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125,981,979.29</w:t>
            </w:r>
          </w:p>
        </w:tc>
        <w:tc>
          <w:tcPr>
            <w:tcW w:w="1955"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142,259,285.59 </w:t>
            </w:r>
          </w:p>
        </w:tc>
      </w:tr>
      <w:tr w:rsidR="000B609E">
        <w:trPr>
          <w:trHeight w:hRule="exact" w:val="907"/>
        </w:trPr>
        <w:tc>
          <w:tcPr>
            <w:tcW w:w="178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-Excess reserves with the central bank</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55,525,167.80</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542,927,158.28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55,525,167.80</w:t>
            </w:r>
          </w:p>
        </w:tc>
        <w:tc>
          <w:tcPr>
            <w:tcW w:w="1955"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542,927,158.28 </w:t>
            </w:r>
          </w:p>
        </w:tc>
      </w:tr>
      <w:tr w:rsidR="000B609E">
        <w:trPr>
          <w:trHeight w:hRule="exact" w:val="1474"/>
        </w:trPr>
        <w:tc>
          <w:tcPr>
            <w:tcW w:w="178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-Due from banks and other financial institutions (due on demand)</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816,367,341.57</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619,082,841.86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781,799,642.36</w:t>
            </w:r>
          </w:p>
        </w:tc>
        <w:tc>
          <w:tcPr>
            <w:tcW w:w="1955"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594,337,690.13 </w:t>
            </w:r>
          </w:p>
        </w:tc>
      </w:tr>
      <w:tr w:rsidR="000B609E">
        <w:trPr>
          <w:trHeight w:hRule="exact" w:val="454"/>
        </w:trPr>
        <w:tc>
          <w:tcPr>
            <w:tcW w:w="178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b/>
                <w:iCs/>
                <w:kern w:val="0"/>
                <w:sz w:val="18"/>
                <w:szCs w:val="18"/>
              </w:rPr>
            </w:pPr>
            <w:r>
              <w:rPr>
                <w:rFonts w:ascii="Times New Roman" w:eastAsia="宋体" w:hAnsi="Times New Roman" w:cs="Times New Roman"/>
                <w:b/>
                <w:iCs/>
                <w:kern w:val="0"/>
                <w:sz w:val="18"/>
                <w:szCs w:val="18"/>
              </w:rPr>
              <w:t>Cash equivalents</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470,000,000.00</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3,942,079,000.00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470,000,000.00</w:t>
            </w:r>
          </w:p>
        </w:tc>
        <w:tc>
          <w:tcPr>
            <w:tcW w:w="1955"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3,942,079,000.00 </w:t>
            </w:r>
          </w:p>
        </w:tc>
      </w:tr>
      <w:tr w:rsidR="000B609E">
        <w:trPr>
          <w:trHeight w:hRule="exact" w:val="2098"/>
        </w:trPr>
        <w:tc>
          <w:tcPr>
            <w:tcW w:w="178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w:t>
            </w:r>
            <w:r>
              <w:rPr>
                <w:rFonts w:ascii="Times New Roman" w:eastAsia="宋体" w:hAnsi="Times New Roman" w:cs="Times New Roman"/>
                <w:kern w:val="0"/>
                <w:sz w:val="18"/>
                <w:szCs w:val="18"/>
              </w:rPr>
              <w:t>Due from banks and other financial institutions with original maturities no more than three months</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10,000,000.00</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1,069,260,000.00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10,000,000.00</w:t>
            </w:r>
          </w:p>
        </w:tc>
        <w:tc>
          <w:tcPr>
            <w:tcW w:w="1955"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1,069,260,000.00 </w:t>
            </w:r>
          </w:p>
        </w:tc>
      </w:tr>
      <w:tr w:rsidR="000B609E">
        <w:trPr>
          <w:trHeight w:val="1668"/>
        </w:trPr>
        <w:tc>
          <w:tcPr>
            <w:tcW w:w="178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lang w:val="en-GB"/>
              </w:rPr>
              <w:lastRenderedPageBreak/>
              <w:t>-</w:t>
            </w:r>
            <w:r>
              <w:rPr>
                <w:rFonts w:ascii="Times New Roman" w:eastAsia="宋体" w:hAnsi="Times New Roman" w:cs="Times New Roman" w:hint="eastAsia"/>
                <w:kern w:val="0"/>
                <w:sz w:val="18"/>
                <w:szCs w:val="18"/>
              </w:rPr>
              <w:t>A</w:t>
            </w:r>
            <w:r>
              <w:rPr>
                <w:rFonts w:ascii="Times New Roman" w:eastAsia="宋体" w:hAnsi="Times New Roman" w:cs="Times New Roman"/>
                <w:kern w:val="0"/>
                <w:sz w:val="18"/>
                <w:szCs w:val="18"/>
              </w:rPr>
              <w:t>vailable-for-sale financial assets with original maturities no more than three months</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360,000,000.00</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50,000,000.00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360,000,000.00</w:t>
            </w:r>
          </w:p>
        </w:tc>
        <w:tc>
          <w:tcPr>
            <w:tcW w:w="1955"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50,000,000.00 </w:t>
            </w:r>
          </w:p>
        </w:tc>
      </w:tr>
      <w:tr w:rsidR="000B609E">
        <w:trPr>
          <w:trHeight w:val="334"/>
        </w:trPr>
        <w:tc>
          <w:tcPr>
            <w:tcW w:w="178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w:t>
            </w:r>
            <w:r>
              <w:rPr>
                <w:rFonts w:ascii="Times New Roman" w:eastAsia="宋体" w:hAnsi="Times New Roman" w:cs="Times New Roman"/>
                <w:kern w:val="0"/>
                <w:sz w:val="18"/>
                <w:szCs w:val="18"/>
              </w:rPr>
              <w:t xml:space="preserve"> The financial assets purchased under repurchase agreements with no more than three months duration</w:t>
            </w:r>
          </w:p>
        </w:tc>
        <w:tc>
          <w:tcPr>
            <w:tcW w:w="1842"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color w:val="000000"/>
                <w:sz w:val="20"/>
                <w:szCs w:val="20"/>
              </w:rPr>
            </w:pPr>
            <w:r>
              <w:rPr>
                <w:rFonts w:ascii="Arial Narrow" w:hAnsi="Arial Narrow" w:cs="宋体" w:hint="eastAsia"/>
                <w:color w:val="000000"/>
                <w:sz w:val="20"/>
                <w:szCs w:val="20"/>
              </w:rPr>
              <w:t xml:space="preserve"> 1,142,819,000.00</w:t>
            </w:r>
          </w:p>
        </w:tc>
        <w:tc>
          <w:tcPr>
            <w:tcW w:w="1842"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hAnsi="Arial Narrow" w:cs="宋体"/>
                <w:color w:val="000000"/>
                <w:sz w:val="20"/>
                <w:szCs w:val="20"/>
              </w:rPr>
            </w:pPr>
            <w:r>
              <w:rPr>
                <w:rFonts w:ascii="Arial Narrow" w:hAnsi="Arial Narrow" w:cs="宋体" w:hint="eastAsia"/>
                <w:color w:val="000000"/>
                <w:sz w:val="20"/>
                <w:szCs w:val="20"/>
              </w:rPr>
              <w:t>-</w:t>
            </w:r>
          </w:p>
        </w:tc>
        <w:tc>
          <w:tcPr>
            <w:tcW w:w="1955"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hAnsi="Arial Narrow" w:cs="宋体"/>
                <w:color w:val="000000"/>
                <w:sz w:val="20"/>
                <w:szCs w:val="20"/>
              </w:rPr>
            </w:pPr>
            <w:r>
              <w:rPr>
                <w:rFonts w:ascii="Arial Narrow" w:hAnsi="Arial Narrow" w:cs="宋体" w:hint="eastAsia"/>
                <w:color w:val="000000"/>
                <w:sz w:val="20"/>
                <w:szCs w:val="20"/>
              </w:rPr>
              <w:t xml:space="preserve"> 1,142,819,000.00</w:t>
            </w:r>
          </w:p>
        </w:tc>
      </w:tr>
      <w:tr w:rsidR="000B609E">
        <w:trPr>
          <w:trHeight w:val="723"/>
        </w:trPr>
        <w:tc>
          <w:tcPr>
            <w:tcW w:w="1783"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w:t>
            </w:r>
            <w:r>
              <w:rPr>
                <w:rFonts w:ascii="Times New Roman" w:eastAsia="宋体" w:hAnsi="Times New Roman" w:cs="Times New Roman"/>
                <w:kern w:val="0"/>
                <w:sz w:val="18"/>
                <w:szCs w:val="18"/>
                <w:lang w:val="en-GB"/>
              </w:rPr>
              <w:t>Lending funds with no more than three months duration</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100,000,000.00</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1,680,000,000.00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100,000,000.00</w:t>
            </w:r>
          </w:p>
        </w:tc>
        <w:tc>
          <w:tcPr>
            <w:tcW w:w="1955"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1,680,000,000.00 </w:t>
            </w:r>
          </w:p>
        </w:tc>
      </w:tr>
      <w:tr w:rsidR="000B609E">
        <w:trPr>
          <w:trHeight w:hRule="exact" w:val="454"/>
        </w:trPr>
        <w:tc>
          <w:tcPr>
            <w:tcW w:w="1783" w:type="dxa"/>
            <w:tcBorders>
              <w:top w:val="single" w:sz="4" w:space="0" w:color="auto"/>
              <w:bottom w:val="doub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842"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bCs/>
                <w:color w:val="000000"/>
                <w:sz w:val="20"/>
                <w:szCs w:val="20"/>
              </w:rPr>
              <w:t>1,470,291,343.31</w:t>
            </w:r>
          </w:p>
        </w:tc>
        <w:tc>
          <w:tcPr>
            <w:tcW w:w="1842"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5,248,640,335.27 </w:t>
            </w:r>
          </w:p>
        </w:tc>
        <w:tc>
          <w:tcPr>
            <w:tcW w:w="1842"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宋体"/>
                <w:b/>
                <w:bCs/>
                <w:color w:val="000000"/>
                <w:sz w:val="20"/>
                <w:szCs w:val="20"/>
              </w:rPr>
              <w:t>1,433,306,789.45</w:t>
            </w:r>
          </w:p>
        </w:tc>
        <w:tc>
          <w:tcPr>
            <w:tcW w:w="1955" w:type="dxa"/>
            <w:tcBorders>
              <w:top w:val="single" w:sz="4" w:space="0" w:color="auto"/>
              <w:left w:val="nil"/>
              <w:bottom w:val="doub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5,221,603,134.00 </w:t>
            </w:r>
          </w:p>
        </w:tc>
      </w:tr>
    </w:tbl>
    <w:p w:rsidR="000B609E" w:rsidRDefault="00B220E1">
      <w:pPr>
        <w:pStyle w:val="21"/>
        <w:spacing w:beforeLines="50" w:before="156" w:afterLines="50" w:after="156" w:line="360" w:lineRule="auto"/>
        <w:ind w:firstLine="482"/>
        <w:rPr>
          <w:rFonts w:ascii="Times New Roman" w:hAnsi="Times New Roman" w:cs="Times New Roman"/>
          <w:sz w:val="24"/>
          <w:szCs w:val="24"/>
        </w:rPr>
      </w:pPr>
      <w:r>
        <w:rPr>
          <w:rFonts w:ascii="Times New Roman" w:hAnsi="Times New Roman" w:cs="Times New Roman" w:hint="eastAsia"/>
          <w:sz w:val="24"/>
          <w:szCs w:val="24"/>
        </w:rPr>
        <w:t>47. Reconciliation from net profit to cash flows from operating activities:</w:t>
      </w:r>
    </w:p>
    <w:tbl>
      <w:tblPr>
        <w:tblW w:w="9239" w:type="dxa"/>
        <w:tblInd w:w="-351" w:type="dxa"/>
        <w:tblLayout w:type="fixed"/>
        <w:tblLook w:val="04A0" w:firstRow="1" w:lastRow="0" w:firstColumn="1" w:lastColumn="0" w:noHBand="0" w:noVBand="1"/>
      </w:tblPr>
      <w:tblGrid>
        <w:gridCol w:w="1534"/>
        <w:gridCol w:w="1845"/>
        <w:gridCol w:w="1934"/>
        <w:gridCol w:w="1842"/>
        <w:gridCol w:w="2084"/>
      </w:tblGrid>
      <w:tr w:rsidR="000B609E">
        <w:trPr>
          <w:trHeight w:val="295"/>
          <w:tblHeader/>
        </w:trPr>
        <w:tc>
          <w:tcPr>
            <w:tcW w:w="1534"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Items</w:t>
            </w:r>
          </w:p>
        </w:tc>
        <w:tc>
          <w:tcPr>
            <w:tcW w:w="3779" w:type="dxa"/>
            <w:gridSpan w:val="2"/>
            <w:tcBorders>
              <w:top w:val="double" w:sz="4" w:space="0" w:color="auto"/>
              <w:left w:val="nil"/>
              <w:bottom w:val="single" w:sz="4" w:space="0" w:color="auto"/>
              <w:right w:val="nil"/>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Group</w:t>
            </w:r>
          </w:p>
        </w:tc>
        <w:tc>
          <w:tcPr>
            <w:tcW w:w="3926" w:type="dxa"/>
            <w:gridSpan w:val="2"/>
            <w:tcBorders>
              <w:top w:val="double" w:sz="4" w:space="0" w:color="auto"/>
              <w:left w:val="single" w:sz="4" w:space="0" w:color="auto"/>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Bank</w:t>
            </w:r>
          </w:p>
        </w:tc>
      </w:tr>
      <w:tr w:rsidR="000B609E">
        <w:trPr>
          <w:trHeight w:val="327"/>
          <w:tblHeader/>
        </w:trPr>
        <w:tc>
          <w:tcPr>
            <w:tcW w:w="1534"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color w:val="000000"/>
                <w:kern w:val="0"/>
                <w:sz w:val="18"/>
                <w:szCs w:val="18"/>
              </w:rPr>
            </w:pP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bCs/>
                <w:color w:val="000000"/>
                <w:kern w:val="0"/>
                <w:sz w:val="18"/>
                <w:szCs w:val="18"/>
              </w:rPr>
              <w:t>20</w:t>
            </w:r>
            <w:r>
              <w:rPr>
                <w:rFonts w:ascii="Times New Roman" w:eastAsia="宋体" w:hAnsi="Times New Roman" w:cs="Times New Roman" w:hint="eastAsia"/>
                <w:b/>
                <w:bCs/>
                <w:color w:val="000000"/>
                <w:kern w:val="0"/>
                <w:sz w:val="18"/>
                <w:szCs w:val="18"/>
              </w:rPr>
              <w:t>20</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color w:val="000000"/>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trPr>
          <w:trHeight w:hRule="exact" w:val="1104"/>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Net profit</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216,842,588.85</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279,419,842.38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220,183,154.48 </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279,697,182.73 </w:t>
            </w:r>
          </w:p>
        </w:tc>
      </w:tr>
      <w:tr w:rsidR="000B609E">
        <w:trPr>
          <w:trHeight w:hRule="exact" w:val="1361"/>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Add</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Allowance for impairment of assets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172,545,231.62</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162,316,205.26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167,421,252.28</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161,897,917.48 </w:t>
            </w:r>
          </w:p>
        </w:tc>
      </w:tr>
      <w:tr w:rsidR="000B609E">
        <w:trPr>
          <w:trHeight w:hRule="exact" w:val="907"/>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Depreciation of fixed assets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27,197,003.97</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26,721,275.47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26,050,045.63</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25,499,851.80 </w:t>
            </w:r>
          </w:p>
        </w:tc>
      </w:tr>
      <w:tr w:rsidR="000B609E">
        <w:trPr>
          <w:trHeight w:hRule="exact" w:val="907"/>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Amortization of intangible assets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1,358,510.51</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1,358,510.51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1,358,510.51</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1,358,510.51 </w:t>
            </w:r>
          </w:p>
        </w:tc>
      </w:tr>
      <w:tr w:rsidR="000B609E">
        <w:trPr>
          <w:trHeight w:hRule="exact" w:val="1361"/>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Decrease in long-term deferred expense</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7,052,154.40</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6,801,071.09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6,823,097.85</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6,620,000.00 </w:t>
            </w:r>
          </w:p>
        </w:tc>
      </w:tr>
      <w:tr w:rsidR="000B609E">
        <w:trPr>
          <w:trHeight w:val="590"/>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Losses on </w:t>
            </w:r>
            <w:r>
              <w:rPr>
                <w:rFonts w:ascii="Times New Roman" w:eastAsia="宋体" w:hAnsi="Times New Roman" w:cs="Times New Roman"/>
                <w:kern w:val="0"/>
                <w:sz w:val="18"/>
                <w:szCs w:val="18"/>
              </w:rPr>
              <w:lastRenderedPageBreak/>
              <w:t>disposal of fixed assets, intangible assets and</w:t>
            </w:r>
            <w:r>
              <w:rPr>
                <w:rFonts w:ascii="Times New Roman" w:eastAsia="宋体" w:hAnsi="Times New Roman" w:cs="Times New Roman" w:hint="eastAsia"/>
                <w:kern w:val="0"/>
                <w:sz w:val="18"/>
                <w:szCs w:val="18"/>
              </w:rPr>
              <w:t xml:space="preserve"> other </w:t>
            </w:r>
            <w:r>
              <w:rPr>
                <w:rFonts w:ascii="Times New Roman" w:eastAsia="宋体" w:hAnsi="Times New Roman" w:cs="Times New Roman"/>
                <w:kern w:val="0"/>
                <w:sz w:val="18"/>
                <w:szCs w:val="18"/>
              </w:rPr>
              <w:t>long-term assets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lastRenderedPageBreak/>
              <w:t xml:space="preserve">-2,038,558.46 </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-508,797.69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-2,034,449.52</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-508,797.69 </w:t>
            </w:r>
          </w:p>
        </w:tc>
      </w:tr>
      <w:tr w:rsidR="000B609E">
        <w:trPr>
          <w:trHeight w:hRule="exact" w:val="1361"/>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Investment real estate depreciation expense</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1,490,375.72 </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1,490,375.76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1,490,375.72</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1,490,375.76 </w:t>
            </w:r>
          </w:p>
        </w:tc>
      </w:tr>
      <w:tr w:rsidR="000B609E">
        <w:trPr>
          <w:trHeight w:hRule="exact" w:val="907"/>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Losses on change of fair value</w:t>
            </w:r>
          </w:p>
        </w:tc>
        <w:tc>
          <w:tcPr>
            <w:tcW w:w="1845"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934"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842"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2084"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r>
      <w:tr w:rsidR="000B609E">
        <w:trPr>
          <w:trHeight w:hRule="exact" w:val="454"/>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Financial expense</w:t>
            </w:r>
          </w:p>
        </w:tc>
        <w:tc>
          <w:tcPr>
            <w:tcW w:w="1845"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934"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842"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2084" w:type="dxa"/>
            <w:tcBorders>
              <w:top w:val="nil"/>
              <w:left w:val="nil"/>
              <w:bottom w:val="single" w:sz="4" w:space="0" w:color="auto"/>
            </w:tcBorders>
            <w:shd w:val="clear" w:color="auto" w:fill="auto"/>
            <w:vAlign w:val="center"/>
          </w:tcPr>
          <w:p w:rsidR="000B609E" w:rsidRDefault="000B609E">
            <w:pPr>
              <w:spacing w:afterLines="0" w:after="0"/>
              <w:ind w:firstLineChars="0" w:firstLine="0"/>
              <w:jc w:val="right"/>
              <w:rPr>
                <w:rFonts w:ascii="Arial Narrow" w:eastAsia="宋体" w:hAnsi="Arial Narrow" w:cs="Arial Narrow"/>
                <w:snapToGrid w:val="0"/>
                <w:kern w:val="0"/>
                <w:sz w:val="20"/>
                <w:szCs w:val="20"/>
              </w:rPr>
            </w:pPr>
          </w:p>
        </w:tc>
      </w:tr>
      <w:tr w:rsidR="000B609E">
        <w:trPr>
          <w:trHeight w:hRule="exact" w:val="454"/>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Investment loss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both"/>
              <w:rPr>
                <w:rFonts w:ascii="Arial Narrow" w:eastAsia="宋体" w:hAnsi="Arial Narrow" w:cs="Arial Narrow"/>
                <w:snapToGrid w:val="0"/>
                <w:kern w:val="0"/>
                <w:sz w:val="20"/>
                <w:szCs w:val="20"/>
              </w:rPr>
            </w:pPr>
            <w:r>
              <w:rPr>
                <w:rFonts w:ascii="Arial Narrow" w:hAnsi="Arial Narrow" w:hint="eastAsia"/>
                <w:color w:val="000000"/>
                <w:sz w:val="20"/>
                <w:szCs w:val="20"/>
              </w:rPr>
              <w:t xml:space="preserve">     </w:t>
            </w:r>
            <w:r>
              <w:rPr>
                <w:rFonts w:ascii="Arial Narrow" w:hAnsi="Arial Narrow" w:cs="宋体"/>
                <w:color w:val="000000"/>
                <w:sz w:val="20"/>
                <w:szCs w:val="20"/>
              </w:rPr>
              <w:t xml:space="preserve">-73,179,070.37  </w:t>
            </w:r>
            <w:r>
              <w:rPr>
                <w:rFonts w:ascii="Arial Narrow" w:hAnsi="Arial Narrow" w:hint="eastAsia"/>
                <w:color w:val="000000"/>
                <w:sz w:val="20"/>
                <w:szCs w:val="20"/>
              </w:rPr>
              <w:t xml:space="preserve">  </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-67,937,108.24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-75,229,070.37</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-69,987,108.24 </w:t>
            </w:r>
          </w:p>
        </w:tc>
      </w:tr>
      <w:tr w:rsidR="000B609E">
        <w:trPr>
          <w:trHeight w:hRule="exact" w:val="907"/>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Decrease in deferred income tax assets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-36,268,182.68</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2,978,494.88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-37,009,048.16</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-84,295.68 </w:t>
            </w:r>
          </w:p>
        </w:tc>
      </w:tr>
      <w:tr w:rsidR="000B609E">
        <w:trPr>
          <w:trHeight w:hRule="exact" w:val="907"/>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Increase in deferred income tax l</w:t>
            </w:r>
            <w:r>
              <w:rPr>
                <w:rFonts w:ascii="Times New Roman" w:eastAsia="宋体" w:hAnsi="Times New Roman" w:cs="Times New Roman" w:hint="eastAsia"/>
                <w:kern w:val="0"/>
                <w:sz w:val="18"/>
                <w:szCs w:val="18"/>
              </w:rPr>
              <w:t>iabilities</w:t>
            </w:r>
          </w:p>
        </w:tc>
        <w:tc>
          <w:tcPr>
            <w:tcW w:w="1845"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934"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1842" w:type="dxa"/>
            <w:tcBorders>
              <w:top w:val="nil"/>
              <w:left w:val="nil"/>
              <w:bottom w:val="single" w:sz="4" w:space="0" w:color="auto"/>
              <w:right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c>
          <w:tcPr>
            <w:tcW w:w="2084" w:type="dxa"/>
            <w:tcBorders>
              <w:top w:val="nil"/>
              <w:left w:val="nil"/>
              <w:bottom w:val="single" w:sz="4" w:space="0" w:color="auto"/>
            </w:tcBorders>
            <w:shd w:val="clear" w:color="auto" w:fill="auto"/>
            <w:vAlign w:val="center"/>
          </w:tcPr>
          <w:p w:rsidR="000B609E" w:rsidRDefault="00DF783A">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w:t>
            </w:r>
          </w:p>
        </w:tc>
      </w:tr>
      <w:tr w:rsidR="000B609E">
        <w:trPr>
          <w:trHeight w:hRule="exact" w:val="454"/>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Decrease in loans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-2,117,920,912.01</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-2,354,776,035.09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-2,037,181,392.64</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-2,283,422,696.97 </w:t>
            </w:r>
          </w:p>
        </w:tc>
      </w:tr>
      <w:tr w:rsidR="000B609E">
        <w:trPr>
          <w:trHeight w:hRule="exact" w:val="907"/>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Increase in deposits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2,289,853,722.78</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2,545,708,330.28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2,245,776,966.52</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2,511,662,829.77 </w:t>
            </w:r>
          </w:p>
        </w:tc>
      </w:tr>
      <w:tr w:rsidR="000B609E">
        <w:trPr>
          <w:trHeight w:hRule="exact" w:val="907"/>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Net increase in inter-bank lending</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-23,109,316.00</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3,410,124,965.95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-72,745,524.84</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3,451,324,635.47 </w:t>
            </w:r>
          </w:p>
        </w:tc>
      </w:tr>
      <w:tr w:rsidR="000B609E">
        <w:trPr>
          <w:trHeight w:hRule="exact" w:val="1361"/>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Decrease in operating receivables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hint="eastAsia"/>
                <w:color w:val="000000"/>
                <w:sz w:val="20"/>
                <w:szCs w:val="20"/>
              </w:rPr>
              <w:t>-</w:t>
            </w:r>
            <w:r>
              <w:rPr>
                <w:rFonts w:ascii="Arial Narrow" w:hAnsi="Arial Narrow" w:cs="宋体"/>
                <w:color w:val="000000"/>
                <w:sz w:val="20"/>
                <w:szCs w:val="20"/>
              </w:rPr>
              <w:t>11,288,343.89</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27,457,307.74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-12,237,712.13</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28,381,023.10 </w:t>
            </w:r>
          </w:p>
        </w:tc>
      </w:tr>
      <w:tr w:rsidR="000B609E">
        <w:trPr>
          <w:trHeight w:hRule="exact" w:val="907"/>
        </w:trPr>
        <w:tc>
          <w:tcPr>
            <w:tcW w:w="1534"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Increase in operating pa</w:t>
            </w:r>
            <w:r>
              <w:rPr>
                <w:rFonts w:ascii="Times New Roman" w:eastAsia="宋体" w:hAnsi="Times New Roman" w:cs="Times New Roman" w:hint="eastAsia"/>
                <w:kern w:val="0"/>
                <w:sz w:val="18"/>
                <w:szCs w:val="18"/>
              </w:rPr>
              <w:t>yables</w:t>
            </w:r>
          </w:p>
        </w:tc>
        <w:tc>
          <w:tcPr>
            <w:tcW w:w="1845"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169,273,255.95</w:t>
            </w:r>
          </w:p>
        </w:tc>
        <w:tc>
          <w:tcPr>
            <w:tcW w:w="1934"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96,533,926.64 </w:t>
            </w:r>
          </w:p>
        </w:tc>
        <w:tc>
          <w:tcPr>
            <w:tcW w:w="184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175,148,876.47</w:t>
            </w:r>
          </w:p>
        </w:tc>
        <w:tc>
          <w:tcPr>
            <w:tcW w:w="2084"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89,627,758.08 </w:t>
            </w:r>
          </w:p>
        </w:tc>
      </w:tr>
      <w:tr w:rsidR="000B609E">
        <w:trPr>
          <w:trHeight w:hRule="exact" w:val="1814"/>
        </w:trPr>
        <w:tc>
          <w:tcPr>
            <w:tcW w:w="1534"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Net cash flows from operating activities</w:t>
            </w:r>
          </w:p>
        </w:tc>
        <w:tc>
          <w:tcPr>
            <w:tcW w:w="1845" w:type="dxa"/>
            <w:tcBorders>
              <w:top w:val="nil"/>
              <w:left w:val="nil"/>
              <w:bottom w:val="double" w:sz="4" w:space="0" w:color="auto"/>
              <w:right w:val="single" w:sz="4" w:space="0" w:color="auto"/>
            </w:tcBorders>
            <w:shd w:val="clear" w:color="auto" w:fill="auto"/>
            <w:vAlign w:val="center"/>
          </w:tcPr>
          <w:p w:rsidR="000B609E" w:rsidRDefault="00B220E1">
            <w:pPr>
              <w:spacing w:after="156"/>
              <w:ind w:firstLine="402"/>
              <w:jc w:val="right"/>
              <w:rPr>
                <w:rFonts w:ascii="Arial Narrow" w:hAnsi="Arial Narrow"/>
                <w:b/>
                <w:color w:val="000000"/>
                <w:sz w:val="20"/>
                <w:szCs w:val="20"/>
              </w:rPr>
            </w:pPr>
            <w:r>
              <w:rPr>
                <w:rFonts w:ascii="Arial Narrow" w:hAnsi="Arial Narrow" w:cs="宋体"/>
                <w:b/>
                <w:bCs/>
                <w:color w:val="000000"/>
                <w:sz w:val="20"/>
                <w:szCs w:val="20"/>
              </w:rPr>
              <w:t>621,808,460.38</w:t>
            </w:r>
            <w:r>
              <w:rPr>
                <w:rFonts w:ascii="Arial Narrow" w:hAnsi="Arial Narrow" w:cs="宋体" w:hint="eastAsia"/>
                <w:b/>
                <w:bCs/>
                <w:color w:val="000000"/>
                <w:sz w:val="20"/>
                <w:szCs w:val="20"/>
              </w:rPr>
              <w:t xml:space="preserve"> </w:t>
            </w:r>
          </w:p>
        </w:tc>
        <w:tc>
          <w:tcPr>
            <w:tcW w:w="1934" w:type="dxa"/>
            <w:tcBorders>
              <w:top w:val="nil"/>
              <w:left w:val="nil"/>
              <w:bottom w:val="double" w:sz="4" w:space="0" w:color="auto"/>
              <w:right w:val="single" w:sz="4" w:space="0" w:color="auto"/>
            </w:tcBorders>
            <w:shd w:val="clear" w:color="auto" w:fill="auto"/>
            <w:vAlign w:val="center"/>
          </w:tcPr>
          <w:p w:rsidR="000B609E" w:rsidRDefault="00B220E1">
            <w:pPr>
              <w:spacing w:after="156"/>
              <w:ind w:firstLine="402"/>
              <w:jc w:val="center"/>
              <w:rPr>
                <w:rFonts w:ascii="Arial Narrow" w:hAnsi="Arial Narrow" w:cs="宋体"/>
                <w:b/>
                <w:bCs/>
                <w:color w:val="000000"/>
                <w:sz w:val="20"/>
                <w:szCs w:val="20"/>
              </w:rPr>
            </w:pPr>
            <w:r>
              <w:rPr>
                <w:rFonts w:ascii="Arial Narrow" w:hAnsi="Arial Narrow" w:cs="宋体" w:hint="eastAsia"/>
                <w:b/>
                <w:bCs/>
                <w:color w:val="000000"/>
                <w:sz w:val="20"/>
                <w:szCs w:val="20"/>
              </w:rPr>
              <w:t xml:space="preserve">4,137,688,364.94 </w:t>
            </w:r>
          </w:p>
        </w:tc>
        <w:tc>
          <w:tcPr>
            <w:tcW w:w="1842" w:type="dxa"/>
            <w:tcBorders>
              <w:top w:val="nil"/>
              <w:left w:val="nil"/>
              <w:bottom w:val="double" w:sz="4" w:space="0" w:color="auto"/>
              <w:right w:val="single" w:sz="4" w:space="0" w:color="auto"/>
            </w:tcBorders>
            <w:shd w:val="clear" w:color="auto" w:fill="auto"/>
            <w:vAlign w:val="center"/>
          </w:tcPr>
          <w:p w:rsidR="000B609E" w:rsidRDefault="00B220E1">
            <w:pPr>
              <w:spacing w:after="156"/>
              <w:ind w:firstLine="402"/>
              <w:jc w:val="right"/>
              <w:rPr>
                <w:rFonts w:ascii="Arial Narrow" w:hAnsi="Arial Narrow" w:cs="宋体"/>
                <w:b/>
                <w:bCs/>
                <w:color w:val="000000"/>
                <w:sz w:val="20"/>
                <w:szCs w:val="20"/>
              </w:rPr>
            </w:pPr>
            <w:r>
              <w:rPr>
                <w:rFonts w:ascii="Arial Narrow" w:hAnsi="Arial Narrow" w:cs="宋体"/>
                <w:b/>
                <w:bCs/>
                <w:color w:val="000000"/>
                <w:sz w:val="20"/>
                <w:szCs w:val="20"/>
              </w:rPr>
              <w:t>607,815,081.79</w:t>
            </w:r>
            <w:r>
              <w:rPr>
                <w:rFonts w:ascii="Arial Narrow" w:hAnsi="Arial Narrow" w:cs="宋体" w:hint="eastAsia"/>
                <w:b/>
                <w:bCs/>
                <w:color w:val="000000"/>
                <w:sz w:val="20"/>
                <w:szCs w:val="20"/>
              </w:rPr>
              <w:t xml:space="preserve"> </w:t>
            </w:r>
          </w:p>
        </w:tc>
        <w:tc>
          <w:tcPr>
            <w:tcW w:w="2084" w:type="dxa"/>
            <w:tcBorders>
              <w:top w:val="nil"/>
              <w:left w:val="nil"/>
              <w:bottom w:val="double" w:sz="4" w:space="0" w:color="auto"/>
            </w:tcBorders>
            <w:shd w:val="clear" w:color="auto" w:fill="auto"/>
            <w:vAlign w:val="center"/>
          </w:tcPr>
          <w:p w:rsidR="000B609E" w:rsidRDefault="00B220E1">
            <w:pPr>
              <w:spacing w:after="156"/>
              <w:ind w:firstLine="402"/>
              <w:jc w:val="right"/>
              <w:rPr>
                <w:rFonts w:ascii="Arial Narrow" w:hAnsi="Arial Narrow" w:cs="宋体"/>
                <w:b/>
                <w:bCs/>
                <w:color w:val="000000"/>
                <w:sz w:val="20"/>
                <w:szCs w:val="20"/>
              </w:rPr>
            </w:pPr>
            <w:r>
              <w:rPr>
                <w:rFonts w:ascii="Arial Narrow" w:hAnsi="Arial Narrow" w:cs="宋体" w:hint="eastAsia"/>
                <w:b/>
                <w:bCs/>
                <w:color w:val="000000"/>
                <w:sz w:val="20"/>
                <w:szCs w:val="20"/>
              </w:rPr>
              <w:t xml:space="preserve"> 4,203,557,186.12 </w:t>
            </w:r>
          </w:p>
        </w:tc>
      </w:tr>
    </w:tbl>
    <w:p w:rsidR="000B609E" w:rsidRDefault="00B220E1">
      <w:pPr>
        <w:pStyle w:val="1"/>
        <w:numPr>
          <w:ilvl w:val="0"/>
          <w:numId w:val="11"/>
        </w:numPr>
        <w:spacing w:beforeLines="50" w:before="156" w:after="10" w:line="360" w:lineRule="auto"/>
        <w:ind w:left="0" w:firstLine="482"/>
        <w:rPr>
          <w:rFonts w:ascii="Times New Roman" w:hAnsi="Times New Roman" w:cs="Times New Roman"/>
          <w:sz w:val="24"/>
          <w:szCs w:val="24"/>
        </w:rPr>
      </w:pPr>
      <w:r>
        <w:rPr>
          <w:rFonts w:ascii="Times New Roman" w:hAnsi="Times New Roman" w:cs="Times New Roman" w:hint="eastAsia"/>
          <w:sz w:val="24"/>
          <w:szCs w:val="24"/>
        </w:rPr>
        <w:lastRenderedPageBreak/>
        <w:t xml:space="preserve">EQUITY HOLDING SUBSIDIARY AND </w:t>
      </w:r>
      <w:r>
        <w:rPr>
          <w:rFonts w:ascii="Times New Roman" w:hAnsi="Times New Roman" w:cs="Times New Roman"/>
          <w:sz w:val="24"/>
          <w:szCs w:val="24"/>
        </w:rPr>
        <w:t>CONSOLIDATION SCOPE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There is no change in the consolidation scope of the Group in 2020.</w:t>
      </w:r>
    </w:p>
    <w:p w:rsidR="000B609E" w:rsidRDefault="00B220E1">
      <w:pPr>
        <w:pStyle w:val="11"/>
        <w:numPr>
          <w:ilvl w:val="0"/>
          <w:numId w:val="35"/>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hint="eastAsia"/>
          <w:sz w:val="24"/>
          <w:szCs w:val="24"/>
        </w:rPr>
        <w:t xml:space="preserve">nterest in </w:t>
      </w:r>
      <w:r>
        <w:rPr>
          <w:rFonts w:ascii="Times New Roman" w:hAnsi="Times New Roman" w:cs="Times New Roman"/>
          <w:sz w:val="24"/>
          <w:szCs w:val="24"/>
        </w:rPr>
        <w:t>subsidiary</w:t>
      </w:r>
    </w:p>
    <w:p w:rsidR="000B609E" w:rsidRDefault="00B220E1">
      <w:pPr>
        <w:pStyle w:val="11"/>
        <w:numPr>
          <w:ilvl w:val="0"/>
          <w:numId w:val="36"/>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Equity</w:t>
      </w:r>
      <w:r>
        <w:rPr>
          <w:rFonts w:ascii="Times New Roman" w:hAnsi="Times New Roman" w:cs="Times New Roman" w:hint="eastAsia"/>
          <w:sz w:val="24"/>
          <w:szCs w:val="24"/>
        </w:rPr>
        <w:t xml:space="preserve"> holding subsidiary and consolidation scope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Basic information of subsidiary                Unit</w:t>
      </w:r>
      <w:r>
        <w:rPr>
          <w:rFonts w:ascii="Times New Roman" w:hAnsi="Times New Roman" w:cs="Times New Roman" w:hint="eastAsia"/>
          <w:sz w:val="24"/>
          <w:szCs w:val="24"/>
        </w:rPr>
        <w:t>：</w:t>
      </w:r>
      <w:r>
        <w:rPr>
          <w:rFonts w:ascii="Times New Roman" w:hAnsi="Times New Roman" w:cs="Times New Roman" w:hint="eastAsia"/>
          <w:sz w:val="24"/>
          <w:szCs w:val="24"/>
        </w:rPr>
        <w:t xml:space="preserve">Ten </w:t>
      </w:r>
      <w:proofErr w:type="gramStart"/>
      <w:r>
        <w:rPr>
          <w:rFonts w:ascii="Times New Roman" w:hAnsi="Times New Roman" w:cs="Times New Roman" w:hint="eastAsia"/>
          <w:sz w:val="24"/>
          <w:szCs w:val="24"/>
        </w:rPr>
        <w:t>t</w:t>
      </w:r>
      <w:r>
        <w:rPr>
          <w:rFonts w:ascii="Times New Roman" w:hAnsi="Times New Roman" w:cs="Times New Roman"/>
          <w:sz w:val="24"/>
          <w:szCs w:val="24"/>
        </w:rPr>
        <w:t>housands</w:t>
      </w:r>
      <w:proofErr w:type="gramEnd"/>
      <w:r>
        <w:rPr>
          <w:rFonts w:ascii="Times New Roman" w:hAnsi="Times New Roman" w:cs="Times New Roman" w:hint="eastAsia"/>
          <w:sz w:val="24"/>
          <w:szCs w:val="24"/>
        </w:rPr>
        <w:t xml:space="preserve"> RMB</w:t>
      </w:r>
    </w:p>
    <w:tbl>
      <w:tblPr>
        <w:tblW w:w="9547" w:type="dxa"/>
        <w:jc w:val="center"/>
        <w:tblBorders>
          <w:top w:val="double" w:sz="4" w:space="0" w:color="auto"/>
          <w:bottom w:val="doub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4"/>
        <w:gridCol w:w="878"/>
        <w:gridCol w:w="1086"/>
        <w:gridCol w:w="1308"/>
        <w:gridCol w:w="993"/>
        <w:gridCol w:w="708"/>
        <w:gridCol w:w="709"/>
        <w:gridCol w:w="709"/>
        <w:gridCol w:w="1134"/>
        <w:gridCol w:w="758"/>
      </w:tblGrid>
      <w:tr w:rsidR="000B609E">
        <w:trPr>
          <w:trHeight w:val="1166"/>
          <w:jc w:val="center"/>
        </w:trPr>
        <w:tc>
          <w:tcPr>
            <w:tcW w:w="1264"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snapToGrid w:val="0"/>
                <w:color w:val="000000"/>
                <w:kern w:val="0"/>
                <w:sz w:val="18"/>
                <w:szCs w:val="18"/>
                <w:lang w:val="en-GB"/>
              </w:rPr>
            </w:pPr>
            <w:r>
              <w:rPr>
                <w:rFonts w:ascii="Times New Roman" w:eastAsia="宋体" w:hAnsi="Times New Roman" w:cs="Times New Roman"/>
                <w:b/>
                <w:snapToGrid w:val="0"/>
                <w:color w:val="000000"/>
                <w:kern w:val="0"/>
                <w:sz w:val="18"/>
                <w:szCs w:val="18"/>
                <w:lang w:val="en-GB"/>
              </w:rPr>
              <w:t>Name of the investee</w:t>
            </w:r>
          </w:p>
        </w:tc>
        <w:tc>
          <w:tcPr>
            <w:tcW w:w="878" w:type="dxa"/>
            <w:vAlign w:val="center"/>
          </w:tcPr>
          <w:p w:rsidR="000B609E" w:rsidRDefault="00B220E1">
            <w:pPr>
              <w:spacing w:after="156" w:line="360" w:lineRule="auto"/>
              <w:ind w:firstLineChars="0" w:firstLine="0"/>
              <w:jc w:val="center"/>
              <w:rPr>
                <w:rFonts w:ascii="Times New Roman" w:eastAsia="宋体" w:hAnsi="Times New Roman" w:cs="Times New Roman"/>
                <w:b/>
                <w:snapToGrid w:val="0"/>
                <w:color w:val="000000"/>
                <w:kern w:val="0"/>
                <w:sz w:val="18"/>
                <w:szCs w:val="18"/>
                <w:lang w:val="en-GB"/>
              </w:rPr>
            </w:pPr>
            <w:r>
              <w:rPr>
                <w:rFonts w:ascii="Times New Roman" w:eastAsia="宋体" w:hAnsi="Times New Roman" w:cs="Times New Roman"/>
                <w:b/>
                <w:snapToGrid w:val="0"/>
                <w:color w:val="000000"/>
                <w:kern w:val="0"/>
                <w:sz w:val="18"/>
                <w:szCs w:val="18"/>
                <w:lang w:val="en-GB"/>
              </w:rPr>
              <w:t>Organization code</w:t>
            </w:r>
          </w:p>
        </w:tc>
        <w:tc>
          <w:tcPr>
            <w:tcW w:w="1086"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snapToGrid w:val="0"/>
                <w:color w:val="000000"/>
                <w:kern w:val="0"/>
                <w:sz w:val="18"/>
                <w:szCs w:val="18"/>
                <w:lang w:val="en-GB"/>
              </w:rPr>
            </w:pPr>
            <w:r>
              <w:rPr>
                <w:rFonts w:ascii="Times New Roman" w:eastAsia="宋体" w:hAnsi="Times New Roman" w:cs="Times New Roman"/>
                <w:b/>
                <w:snapToGrid w:val="0"/>
                <w:color w:val="000000"/>
                <w:kern w:val="0"/>
                <w:sz w:val="18"/>
                <w:szCs w:val="18"/>
                <w:lang w:val="en-GB"/>
              </w:rPr>
              <w:t>Registration place</w:t>
            </w:r>
          </w:p>
        </w:tc>
        <w:tc>
          <w:tcPr>
            <w:tcW w:w="1308" w:type="dxa"/>
            <w:vAlign w:val="center"/>
          </w:tcPr>
          <w:p w:rsidR="000B609E" w:rsidRDefault="00B220E1">
            <w:pPr>
              <w:spacing w:after="156" w:line="360" w:lineRule="auto"/>
              <w:ind w:firstLineChars="0" w:firstLine="0"/>
              <w:jc w:val="center"/>
              <w:rPr>
                <w:rFonts w:ascii="Times New Roman" w:eastAsia="宋体" w:hAnsi="Times New Roman" w:cs="Times New Roman"/>
                <w:b/>
                <w:snapToGrid w:val="0"/>
                <w:color w:val="000000"/>
                <w:kern w:val="0"/>
                <w:sz w:val="18"/>
                <w:szCs w:val="18"/>
                <w:lang w:val="en-GB"/>
              </w:rPr>
            </w:pPr>
            <w:r>
              <w:rPr>
                <w:rFonts w:ascii="Times New Roman" w:eastAsia="宋体" w:hAnsi="Times New Roman" w:cs="Times New Roman"/>
                <w:b/>
                <w:snapToGrid w:val="0"/>
                <w:color w:val="000000"/>
                <w:kern w:val="0"/>
                <w:sz w:val="18"/>
                <w:szCs w:val="18"/>
                <w:lang w:val="en-GB"/>
              </w:rPr>
              <w:t>The scope of business</w:t>
            </w:r>
          </w:p>
        </w:tc>
        <w:tc>
          <w:tcPr>
            <w:tcW w:w="993"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snapToGrid w:val="0"/>
                <w:color w:val="000000"/>
                <w:kern w:val="0"/>
                <w:sz w:val="18"/>
                <w:szCs w:val="18"/>
                <w:lang w:val="en-GB"/>
              </w:rPr>
            </w:pPr>
            <w:r>
              <w:rPr>
                <w:rFonts w:ascii="Times New Roman" w:eastAsia="宋体" w:hAnsi="Times New Roman" w:cs="Times New Roman"/>
                <w:b/>
                <w:snapToGrid w:val="0"/>
                <w:color w:val="000000"/>
                <w:kern w:val="0"/>
                <w:sz w:val="18"/>
                <w:szCs w:val="18"/>
                <w:lang w:val="en-GB"/>
              </w:rPr>
              <w:t>Registration capital</w:t>
            </w:r>
          </w:p>
        </w:tc>
        <w:tc>
          <w:tcPr>
            <w:tcW w:w="708"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snapToGrid w:val="0"/>
                <w:color w:val="000000"/>
                <w:kern w:val="0"/>
                <w:sz w:val="18"/>
                <w:szCs w:val="18"/>
                <w:lang w:val="en-GB"/>
              </w:rPr>
            </w:pPr>
            <w:r>
              <w:rPr>
                <w:rFonts w:ascii="Times New Roman" w:eastAsia="宋体" w:hAnsi="Times New Roman" w:cs="Times New Roman"/>
                <w:b/>
                <w:snapToGrid w:val="0"/>
                <w:color w:val="000000"/>
                <w:kern w:val="0"/>
                <w:sz w:val="18"/>
                <w:szCs w:val="18"/>
                <w:lang w:val="en-GB"/>
              </w:rPr>
              <w:t>Percentage of shareholding</w:t>
            </w:r>
          </w:p>
        </w:tc>
        <w:tc>
          <w:tcPr>
            <w:tcW w:w="709"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snapToGrid w:val="0"/>
                <w:color w:val="000000"/>
                <w:kern w:val="0"/>
                <w:sz w:val="18"/>
                <w:szCs w:val="18"/>
                <w:lang w:val="en-GB"/>
              </w:rPr>
            </w:pPr>
            <w:r>
              <w:rPr>
                <w:rFonts w:ascii="Times New Roman" w:eastAsia="宋体" w:hAnsi="Times New Roman" w:cs="Times New Roman"/>
                <w:b/>
                <w:snapToGrid w:val="0"/>
                <w:color w:val="000000"/>
                <w:kern w:val="0"/>
                <w:sz w:val="18"/>
                <w:szCs w:val="18"/>
                <w:lang w:val="en-GB"/>
              </w:rPr>
              <w:t>Percentage of Voting power</w:t>
            </w:r>
          </w:p>
        </w:tc>
        <w:tc>
          <w:tcPr>
            <w:tcW w:w="709"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snapToGrid w:val="0"/>
                <w:color w:val="000000"/>
                <w:kern w:val="0"/>
                <w:sz w:val="18"/>
                <w:szCs w:val="18"/>
                <w:lang w:val="en-GB"/>
              </w:rPr>
            </w:pPr>
            <w:r>
              <w:rPr>
                <w:rFonts w:ascii="Times New Roman" w:eastAsia="宋体" w:hAnsi="Times New Roman" w:cs="Times New Roman"/>
                <w:b/>
                <w:snapToGrid w:val="0"/>
                <w:color w:val="000000"/>
                <w:kern w:val="0"/>
                <w:sz w:val="18"/>
                <w:szCs w:val="18"/>
                <w:lang w:val="en-GB"/>
              </w:rPr>
              <w:t>Actual investment</w:t>
            </w:r>
          </w:p>
        </w:tc>
        <w:tc>
          <w:tcPr>
            <w:tcW w:w="1134" w:type="dxa"/>
            <w:vAlign w:val="center"/>
          </w:tcPr>
          <w:p w:rsidR="000B609E" w:rsidRDefault="00B220E1">
            <w:pPr>
              <w:spacing w:after="156" w:line="360" w:lineRule="auto"/>
              <w:ind w:firstLineChars="0" w:firstLine="0"/>
              <w:jc w:val="center"/>
              <w:rPr>
                <w:rFonts w:ascii="Times New Roman" w:eastAsia="宋体" w:hAnsi="Times New Roman" w:cs="Times New Roman"/>
                <w:b/>
                <w:snapToGrid w:val="0"/>
                <w:color w:val="000000"/>
                <w:kern w:val="0"/>
                <w:sz w:val="18"/>
                <w:szCs w:val="18"/>
                <w:lang w:val="en-GB"/>
              </w:rPr>
            </w:pPr>
            <w:r>
              <w:rPr>
                <w:rFonts w:ascii="Times New Roman" w:eastAsia="宋体" w:hAnsi="Times New Roman" w:cs="Times New Roman"/>
                <w:b/>
                <w:snapToGrid w:val="0"/>
                <w:color w:val="000000"/>
                <w:kern w:val="0"/>
                <w:sz w:val="18"/>
                <w:szCs w:val="18"/>
                <w:lang w:val="en-GB"/>
              </w:rPr>
              <w:t>Consolidated or not</w:t>
            </w:r>
          </w:p>
        </w:tc>
        <w:tc>
          <w:tcPr>
            <w:tcW w:w="758" w:type="dxa"/>
            <w:vAlign w:val="center"/>
          </w:tcPr>
          <w:p w:rsidR="000B609E" w:rsidRDefault="00B220E1">
            <w:pPr>
              <w:spacing w:after="156" w:line="360" w:lineRule="auto"/>
              <w:ind w:firstLineChars="0" w:firstLine="0"/>
              <w:jc w:val="center"/>
              <w:rPr>
                <w:rFonts w:ascii="Times New Roman" w:eastAsia="宋体" w:hAnsi="Times New Roman" w:cs="Times New Roman"/>
                <w:b/>
                <w:snapToGrid w:val="0"/>
                <w:color w:val="000000"/>
                <w:kern w:val="0"/>
                <w:sz w:val="18"/>
                <w:szCs w:val="18"/>
                <w:lang w:val="en-GB"/>
              </w:rPr>
            </w:pPr>
            <w:r>
              <w:rPr>
                <w:rFonts w:ascii="Times New Roman" w:eastAsia="宋体" w:hAnsi="Times New Roman" w:cs="Times New Roman"/>
                <w:b/>
                <w:snapToGrid w:val="0"/>
                <w:color w:val="000000"/>
                <w:kern w:val="0"/>
                <w:sz w:val="18"/>
                <w:szCs w:val="18"/>
                <w:lang w:val="en-GB"/>
              </w:rPr>
              <w:t>Minority interest</w:t>
            </w:r>
          </w:p>
        </w:tc>
      </w:tr>
      <w:tr w:rsidR="000B609E">
        <w:trPr>
          <w:trHeight w:val="1112"/>
          <w:jc w:val="center"/>
        </w:trPr>
        <w:tc>
          <w:tcPr>
            <w:tcW w:w="1264"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 xml:space="preserve">Jiangsu </w:t>
            </w:r>
            <w:proofErr w:type="spellStart"/>
            <w:r>
              <w:rPr>
                <w:rFonts w:ascii="Times New Roman" w:eastAsia="宋体" w:hAnsi="Times New Roman" w:cs="Times New Roman"/>
                <w:snapToGrid w:val="0"/>
                <w:kern w:val="0"/>
                <w:sz w:val="18"/>
                <w:szCs w:val="18"/>
                <w:lang w:val="en-GB"/>
              </w:rPr>
              <w:t>Hongze</w:t>
            </w:r>
            <w:proofErr w:type="spellEnd"/>
            <w:r>
              <w:rPr>
                <w:rFonts w:ascii="Times New Roman" w:eastAsia="宋体" w:hAnsi="Times New Roman" w:cs="Times New Roman"/>
                <w:snapToGrid w:val="0"/>
                <w:kern w:val="0"/>
                <w:sz w:val="18"/>
                <w:szCs w:val="18"/>
                <w:lang w:val="en-GB"/>
              </w:rPr>
              <w:t xml:space="preserve"> </w:t>
            </w:r>
            <w:proofErr w:type="spellStart"/>
            <w:r>
              <w:rPr>
                <w:rFonts w:ascii="Times New Roman" w:eastAsia="宋体" w:hAnsi="Times New Roman" w:cs="Times New Roman"/>
                <w:snapToGrid w:val="0"/>
                <w:kern w:val="0"/>
                <w:sz w:val="18"/>
                <w:szCs w:val="18"/>
                <w:lang w:val="en-GB"/>
              </w:rPr>
              <w:t>Jinyangguang</w:t>
            </w:r>
            <w:proofErr w:type="spellEnd"/>
            <w:r>
              <w:rPr>
                <w:rFonts w:ascii="Times New Roman" w:eastAsia="宋体" w:hAnsi="Times New Roman" w:cs="Times New Roman"/>
                <w:snapToGrid w:val="0"/>
                <w:kern w:val="0"/>
                <w:sz w:val="18"/>
                <w:szCs w:val="18"/>
                <w:lang w:val="en-GB"/>
              </w:rPr>
              <w:t xml:space="preserve"> Village Bank Co., Ltd.</w:t>
            </w:r>
          </w:p>
        </w:tc>
        <w:tc>
          <w:tcPr>
            <w:tcW w:w="878" w:type="dxa"/>
            <w:vAlign w:val="center"/>
          </w:tcPr>
          <w:p w:rsidR="000B609E" w:rsidRDefault="00B220E1">
            <w:pPr>
              <w:spacing w:after="156" w:line="360" w:lineRule="auto"/>
              <w:ind w:firstLineChars="0" w:firstLine="0"/>
              <w:jc w:val="center"/>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91320800598605441P</w:t>
            </w:r>
          </w:p>
        </w:tc>
        <w:tc>
          <w:tcPr>
            <w:tcW w:w="1086"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 xml:space="preserve">Room 8, Building 5, </w:t>
            </w:r>
            <w:proofErr w:type="spellStart"/>
            <w:r>
              <w:rPr>
                <w:rFonts w:ascii="Times New Roman" w:eastAsia="宋体" w:hAnsi="Times New Roman" w:cs="Times New Roman"/>
                <w:snapToGrid w:val="0"/>
                <w:kern w:val="0"/>
                <w:sz w:val="18"/>
                <w:szCs w:val="18"/>
                <w:lang w:val="en-GB"/>
              </w:rPr>
              <w:t>Jianchao</w:t>
            </w:r>
            <w:proofErr w:type="spellEnd"/>
            <w:r>
              <w:rPr>
                <w:rFonts w:ascii="Times New Roman" w:eastAsia="宋体" w:hAnsi="Times New Roman" w:cs="Times New Roman"/>
                <w:snapToGrid w:val="0"/>
                <w:kern w:val="0"/>
                <w:sz w:val="18"/>
                <w:szCs w:val="18"/>
                <w:lang w:val="en-GB"/>
              </w:rPr>
              <w:t xml:space="preserve"> </w:t>
            </w:r>
            <w:proofErr w:type="spellStart"/>
            <w:r>
              <w:rPr>
                <w:rFonts w:ascii="Times New Roman" w:eastAsia="宋体" w:hAnsi="Times New Roman" w:cs="Times New Roman"/>
                <w:snapToGrid w:val="0"/>
                <w:kern w:val="0"/>
                <w:sz w:val="18"/>
                <w:szCs w:val="18"/>
                <w:lang w:val="en-GB"/>
              </w:rPr>
              <w:t>Caifu</w:t>
            </w:r>
            <w:proofErr w:type="spellEnd"/>
            <w:r>
              <w:rPr>
                <w:rFonts w:ascii="Times New Roman" w:eastAsia="宋体" w:hAnsi="Times New Roman" w:cs="Times New Roman"/>
                <w:snapToGrid w:val="0"/>
                <w:kern w:val="0"/>
                <w:sz w:val="18"/>
                <w:szCs w:val="18"/>
                <w:lang w:val="en-GB"/>
              </w:rPr>
              <w:t xml:space="preserve"> Square, </w:t>
            </w:r>
            <w:proofErr w:type="spellStart"/>
            <w:r>
              <w:rPr>
                <w:rFonts w:ascii="Times New Roman" w:eastAsia="宋体" w:hAnsi="Times New Roman" w:cs="Times New Roman"/>
                <w:snapToGrid w:val="0"/>
                <w:kern w:val="0"/>
                <w:sz w:val="18"/>
                <w:szCs w:val="18"/>
                <w:lang w:val="en-GB"/>
              </w:rPr>
              <w:t>Hongze</w:t>
            </w:r>
            <w:proofErr w:type="spellEnd"/>
            <w:r>
              <w:rPr>
                <w:rFonts w:ascii="Times New Roman" w:eastAsia="宋体" w:hAnsi="Times New Roman" w:cs="Times New Roman"/>
                <w:snapToGrid w:val="0"/>
                <w:kern w:val="0"/>
                <w:sz w:val="18"/>
                <w:szCs w:val="18"/>
                <w:lang w:val="en-GB"/>
              </w:rPr>
              <w:t xml:space="preserve">, </w:t>
            </w:r>
            <w:proofErr w:type="spellStart"/>
            <w:r>
              <w:rPr>
                <w:rFonts w:ascii="Times New Roman" w:eastAsia="宋体" w:hAnsi="Times New Roman" w:cs="Times New Roman"/>
                <w:snapToGrid w:val="0"/>
                <w:kern w:val="0"/>
                <w:sz w:val="18"/>
                <w:szCs w:val="18"/>
                <w:lang w:val="en-GB"/>
              </w:rPr>
              <w:t>Huaian</w:t>
            </w:r>
            <w:proofErr w:type="spellEnd"/>
          </w:p>
        </w:tc>
        <w:tc>
          <w:tcPr>
            <w:tcW w:w="1308" w:type="dxa"/>
            <w:vAlign w:val="center"/>
          </w:tcPr>
          <w:p w:rsidR="000B609E" w:rsidRDefault="00B220E1">
            <w:pPr>
              <w:spacing w:after="156" w:line="360" w:lineRule="auto"/>
              <w:ind w:firstLineChars="0" w:firstLine="0"/>
              <w:jc w:val="center"/>
              <w:rPr>
                <w:rFonts w:ascii="Times New Roman" w:eastAsia="宋体" w:hAnsi="Times New Roman" w:cs="Times New Roman"/>
                <w:snapToGrid w:val="0"/>
                <w:w w:val="90"/>
                <w:kern w:val="0"/>
                <w:sz w:val="18"/>
                <w:szCs w:val="18"/>
                <w:lang w:val="en-GB"/>
              </w:rPr>
            </w:pPr>
            <w:r>
              <w:rPr>
                <w:rFonts w:ascii="Times New Roman" w:eastAsia="宋体" w:hAnsi="Times New Roman" w:cs="Times New Roman"/>
                <w:snapToGrid w:val="0"/>
                <w:kern w:val="0"/>
                <w:sz w:val="18"/>
                <w:szCs w:val="18"/>
                <w:lang w:val="en-GB"/>
              </w:rPr>
              <w:t>Absorb deposit from the public</w:t>
            </w:r>
            <w:r>
              <w:rPr>
                <w:rFonts w:ascii="Times New Roman" w:eastAsia="宋体" w:hAnsi="Times New Roman" w:cs="Times New Roman"/>
                <w:snapToGrid w:val="0"/>
                <w:kern w:val="0"/>
                <w:sz w:val="18"/>
                <w:szCs w:val="18"/>
                <w:lang w:val="en-GB"/>
              </w:rPr>
              <w:t>、</w:t>
            </w:r>
            <w:r>
              <w:rPr>
                <w:rFonts w:ascii="Times New Roman" w:eastAsia="宋体" w:hAnsi="Times New Roman" w:cs="Times New Roman"/>
                <w:snapToGrid w:val="0"/>
                <w:kern w:val="0"/>
                <w:sz w:val="18"/>
                <w:szCs w:val="18"/>
                <w:lang w:val="en-GB"/>
              </w:rPr>
              <w:t>issue loans</w:t>
            </w:r>
            <w:r>
              <w:rPr>
                <w:rFonts w:ascii="Times New Roman" w:eastAsia="宋体" w:hAnsi="Times New Roman" w:cs="Times New Roman"/>
                <w:snapToGrid w:val="0"/>
                <w:kern w:val="0"/>
                <w:sz w:val="18"/>
                <w:szCs w:val="18"/>
                <w:lang w:val="en-GB"/>
              </w:rPr>
              <w:t>、</w:t>
            </w:r>
            <w:r>
              <w:rPr>
                <w:rFonts w:ascii="Times New Roman" w:eastAsia="宋体" w:hAnsi="Times New Roman" w:cs="Times New Roman"/>
                <w:snapToGrid w:val="0"/>
                <w:kern w:val="0"/>
                <w:sz w:val="18"/>
                <w:szCs w:val="18"/>
                <w:lang w:val="en-GB"/>
              </w:rPr>
              <w:t>settlement…</w:t>
            </w:r>
          </w:p>
        </w:tc>
        <w:tc>
          <w:tcPr>
            <w:tcW w:w="993"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8,000.00</w:t>
            </w:r>
          </w:p>
        </w:tc>
        <w:tc>
          <w:tcPr>
            <w:tcW w:w="708"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51.25%</w:t>
            </w:r>
          </w:p>
        </w:tc>
        <w:tc>
          <w:tcPr>
            <w:tcW w:w="709"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51.25%</w:t>
            </w:r>
          </w:p>
        </w:tc>
        <w:tc>
          <w:tcPr>
            <w:tcW w:w="709"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4,100.00</w:t>
            </w:r>
          </w:p>
        </w:tc>
        <w:tc>
          <w:tcPr>
            <w:tcW w:w="1134" w:type="dxa"/>
            <w:vAlign w:val="center"/>
          </w:tcPr>
          <w:p w:rsidR="000B609E" w:rsidRDefault="00B220E1">
            <w:pPr>
              <w:spacing w:after="156" w:line="360" w:lineRule="auto"/>
              <w:ind w:firstLineChars="0" w:firstLine="0"/>
              <w:jc w:val="center"/>
              <w:rPr>
                <w:rFonts w:ascii="Times New Roman" w:eastAsia="宋体" w:hAnsi="Times New Roman" w:cs="Times New Roman"/>
                <w:snapToGrid w:val="0"/>
                <w:kern w:val="0"/>
                <w:sz w:val="18"/>
                <w:szCs w:val="18"/>
                <w:lang w:val="en-GB"/>
              </w:rPr>
            </w:pPr>
            <w:r>
              <w:rPr>
                <w:rFonts w:ascii="Times New Roman" w:eastAsia="宋体" w:hAnsi="Times New Roman" w:cs="Times New Roman"/>
                <w:snapToGrid w:val="0"/>
                <w:kern w:val="0"/>
                <w:sz w:val="18"/>
                <w:szCs w:val="18"/>
                <w:lang w:val="en-GB"/>
              </w:rPr>
              <w:t>Consolidated</w:t>
            </w:r>
          </w:p>
        </w:tc>
        <w:tc>
          <w:tcPr>
            <w:tcW w:w="758" w:type="dxa"/>
            <w:vAlign w:val="center"/>
          </w:tcPr>
          <w:p w:rsidR="000B609E" w:rsidRDefault="00B220E1">
            <w:pPr>
              <w:spacing w:after="156" w:line="360" w:lineRule="auto"/>
              <w:ind w:firstLineChars="0" w:firstLine="0"/>
              <w:jc w:val="center"/>
              <w:rPr>
                <w:rFonts w:ascii="Times New Roman" w:eastAsia="宋体" w:hAnsi="Times New Roman" w:cs="Times New Roman"/>
                <w:snapToGrid w:val="0"/>
                <w:kern w:val="0"/>
                <w:sz w:val="18"/>
                <w:szCs w:val="18"/>
                <w:lang w:val="en-GB"/>
              </w:rPr>
            </w:pPr>
            <w:r>
              <w:rPr>
                <w:rFonts w:ascii="Times New Roman" w:eastAsia="宋体" w:hAnsi="Times New Roman" w:cs="Times New Roman" w:hint="eastAsia"/>
                <w:snapToGrid w:val="0"/>
                <w:kern w:val="0"/>
                <w:sz w:val="18"/>
                <w:szCs w:val="18"/>
                <w:lang w:val="en-GB"/>
              </w:rPr>
              <w:t>4,954.47</w:t>
            </w:r>
          </w:p>
        </w:tc>
      </w:tr>
    </w:tbl>
    <w:p w:rsidR="000B609E" w:rsidRDefault="00B220E1">
      <w:pPr>
        <w:pStyle w:val="11"/>
        <w:numPr>
          <w:ilvl w:val="0"/>
          <w:numId w:val="35"/>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Interests</w:t>
      </w:r>
      <w:r>
        <w:rPr>
          <w:rFonts w:ascii="Times New Roman" w:hAnsi="Times New Roman" w:cs="Times New Roman"/>
          <w:sz w:val="24"/>
          <w:szCs w:val="24"/>
        </w:rPr>
        <w:t xml:space="preserve"> </w:t>
      </w:r>
      <w:r>
        <w:rPr>
          <w:rFonts w:ascii="Times New Roman" w:hAnsi="Times New Roman" w:cs="Times New Roman" w:hint="eastAsia"/>
          <w:sz w:val="24"/>
          <w:szCs w:val="24"/>
        </w:rPr>
        <w:t>in</w:t>
      </w:r>
      <w:r>
        <w:rPr>
          <w:rFonts w:ascii="Times New Roman" w:hAnsi="Times New Roman" w:cs="Times New Roman"/>
          <w:sz w:val="24"/>
          <w:szCs w:val="24"/>
        </w:rPr>
        <w:t xml:space="preserve"> </w:t>
      </w:r>
      <w:r>
        <w:rPr>
          <w:rFonts w:ascii="Times New Roman" w:hAnsi="Times New Roman" w:cs="Times New Roman" w:hint="eastAsia"/>
          <w:sz w:val="24"/>
          <w:szCs w:val="24"/>
        </w:rPr>
        <w:t>consolidated structured</w:t>
      </w:r>
      <w:r>
        <w:rPr>
          <w:rFonts w:ascii="Times New Roman" w:hAnsi="Times New Roman" w:cs="Times New Roman"/>
          <w:sz w:val="24"/>
          <w:szCs w:val="24"/>
        </w:rPr>
        <w:t xml:space="preserve"> </w:t>
      </w:r>
      <w:r>
        <w:rPr>
          <w:rFonts w:ascii="Times New Roman" w:hAnsi="Times New Roman" w:cs="Times New Roman" w:hint="eastAsia"/>
          <w:sz w:val="24"/>
          <w:szCs w:val="24"/>
        </w:rPr>
        <w:t>entities</w:t>
      </w:r>
    </w:p>
    <w:p w:rsidR="000B609E" w:rsidRDefault="00B220E1">
      <w:pPr>
        <w:pStyle w:val="11"/>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most of structured entities that included in the consolidation scope is a part of wealth management products. The group considers whether there is any control over these structured entities. Meanwhile, the Group determines whether it is an agent or a principle in relation to those structured entities in which the Group acts as a wealth management product manager and the judgment criteria include</w:t>
      </w:r>
      <w:r>
        <w:rPr>
          <w:rFonts w:ascii="Times New Roman" w:hAnsi="Times New Roman" w:cs="Times New Roman" w:hint="eastAsia"/>
          <w:sz w:val="24"/>
          <w:szCs w:val="24"/>
        </w:rPr>
        <w:t>s</w:t>
      </w:r>
      <w:r>
        <w:rPr>
          <w:rFonts w:ascii="Times New Roman" w:hAnsi="Times New Roman" w:cs="Times New Roman"/>
          <w:sz w:val="24"/>
          <w:szCs w:val="24"/>
        </w:rPr>
        <w:t xml:space="preserve"> the scope of the Group’s decision as an asset manager, the power of wealth management product holders, the remuneration for the management services, etc. For the Guaranteed wealth management products, although the Group does not hold any </w:t>
      </w:r>
      <w:r>
        <w:rPr>
          <w:rFonts w:ascii="Times New Roman" w:hAnsi="Times New Roman" w:cs="Times New Roman" w:hint="eastAsia"/>
          <w:sz w:val="24"/>
          <w:szCs w:val="24"/>
        </w:rPr>
        <w:t xml:space="preserve">rights and </w:t>
      </w:r>
      <w:r>
        <w:rPr>
          <w:rFonts w:ascii="Times New Roman" w:hAnsi="Times New Roman" w:cs="Times New Roman"/>
          <w:sz w:val="24"/>
          <w:szCs w:val="24"/>
        </w:rPr>
        <w:lastRenderedPageBreak/>
        <w:t>interest</w:t>
      </w:r>
      <w:r>
        <w:rPr>
          <w:rFonts w:ascii="Times New Roman" w:hAnsi="Times New Roman" w:cs="Times New Roman" w:hint="eastAsia"/>
          <w:sz w:val="24"/>
          <w:szCs w:val="24"/>
        </w:rPr>
        <w:t>s</w:t>
      </w:r>
      <w:r>
        <w:rPr>
          <w:rFonts w:ascii="Times New Roman" w:hAnsi="Times New Roman" w:cs="Times New Roman"/>
          <w:sz w:val="24"/>
          <w:szCs w:val="24"/>
        </w:rPr>
        <w:t xml:space="preserve"> in it, when the losses occur, the Group is obliged to bear the losses in accordance with the relevant financial product guarantee agreement. </w:t>
      </w:r>
      <w:proofErr w:type="gramStart"/>
      <w:r>
        <w:rPr>
          <w:rFonts w:ascii="Times New Roman" w:hAnsi="Times New Roman" w:cs="Times New Roman"/>
          <w:sz w:val="24"/>
          <w:szCs w:val="24"/>
        </w:rPr>
        <w:t>Therefore</w:t>
      </w:r>
      <w:proofErr w:type="gramEnd"/>
      <w:r>
        <w:rPr>
          <w:rFonts w:ascii="Times New Roman" w:hAnsi="Times New Roman" w:cs="Times New Roman"/>
          <w:sz w:val="24"/>
          <w:szCs w:val="24"/>
        </w:rPr>
        <w:t xml:space="preserve"> it</w:t>
      </w:r>
      <w:r>
        <w:rPr>
          <w:rFonts w:ascii="Times New Roman" w:hAnsi="Times New Roman" w:cs="Times New Roman" w:hint="eastAsia"/>
          <w:sz w:val="24"/>
          <w:szCs w:val="24"/>
        </w:rPr>
        <w:t xml:space="preserve"> is also included</w:t>
      </w:r>
      <w:r>
        <w:rPr>
          <w:rFonts w:ascii="Times New Roman" w:hAnsi="Times New Roman" w:cs="Times New Roman"/>
          <w:sz w:val="24"/>
          <w:szCs w:val="24"/>
        </w:rPr>
        <w:t xml:space="preserve"> in the scope of consolidation.</w:t>
      </w:r>
    </w:p>
    <w:tbl>
      <w:tblPr>
        <w:tblW w:w="9528" w:type="dxa"/>
        <w:tblInd w:w="-510"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4076"/>
        <w:gridCol w:w="2309"/>
        <w:gridCol w:w="3143"/>
      </w:tblGrid>
      <w:tr w:rsidR="000B609E">
        <w:trPr>
          <w:trHeight w:val="317"/>
          <w:tblHeader/>
        </w:trPr>
        <w:tc>
          <w:tcPr>
            <w:tcW w:w="4076"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Items</w:t>
            </w:r>
          </w:p>
        </w:tc>
        <w:tc>
          <w:tcPr>
            <w:tcW w:w="2309"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3143"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201</w:t>
            </w:r>
            <w:r>
              <w:rPr>
                <w:rFonts w:ascii="Times New Roman" w:eastAsia="宋体" w:hAnsi="Times New Roman" w:cs="Times New Roman" w:hint="eastAsia"/>
                <w:b/>
                <w:bCs/>
                <w:kern w:val="0"/>
                <w:sz w:val="18"/>
                <w:szCs w:val="18"/>
              </w:rPr>
              <w:t>9</w:t>
            </w:r>
          </w:p>
        </w:tc>
      </w:tr>
      <w:tr w:rsidR="000B609E">
        <w:trPr>
          <w:trHeight w:hRule="exact" w:val="907"/>
        </w:trPr>
        <w:tc>
          <w:tcPr>
            <w:tcW w:w="4076" w:type="dxa"/>
            <w:shd w:val="clear" w:color="auto" w:fill="auto"/>
            <w:vAlign w:val="center"/>
          </w:tcPr>
          <w:p w:rsidR="000B609E" w:rsidRDefault="00B220E1">
            <w:pPr>
              <w:spacing w:after="156"/>
              <w:ind w:firstLineChars="0" w:firstLine="0"/>
              <w:rPr>
                <w:rFonts w:ascii="Times New Roman" w:hAnsi="Times New Roman" w:cs="Times New Roman"/>
                <w:sz w:val="18"/>
                <w:szCs w:val="18"/>
              </w:rPr>
            </w:pPr>
            <w:r>
              <w:rPr>
                <w:rFonts w:ascii="Times New Roman" w:hAnsi="Times New Roman" w:cs="Times New Roman"/>
                <w:sz w:val="18"/>
                <w:szCs w:val="18"/>
              </w:rPr>
              <w:t>Guaranteed wealth management products</w:t>
            </w:r>
          </w:p>
          <w:p w:rsidR="000B609E" w:rsidRDefault="00B220E1">
            <w:pPr>
              <w:spacing w:after="156"/>
              <w:ind w:firstLine="360"/>
              <w:rPr>
                <w:rFonts w:ascii="Times New Roman" w:eastAsia="宋体" w:hAnsi="Times New Roman" w:cs="Times New Roman"/>
                <w:kern w:val="0"/>
                <w:sz w:val="18"/>
                <w:szCs w:val="18"/>
              </w:rPr>
            </w:pPr>
            <w:r>
              <w:rPr>
                <w:rFonts w:ascii="Times New Roman" w:hAnsi="Times New Roman" w:cs="Times New Roman"/>
                <w:sz w:val="18"/>
                <w:szCs w:val="18"/>
              </w:rPr>
              <w:t>(In financial statement)</w:t>
            </w:r>
          </w:p>
        </w:tc>
        <w:tc>
          <w:tcPr>
            <w:tcW w:w="2309"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18"/>
                <w:szCs w:val="18"/>
              </w:rPr>
            </w:pPr>
            <w:r>
              <w:rPr>
                <w:rFonts w:ascii="Arial Narrow" w:hAnsi="Arial Narrow" w:cs="Calibri" w:hint="eastAsia"/>
              </w:rPr>
              <w:t>-</w:t>
            </w:r>
          </w:p>
        </w:tc>
        <w:tc>
          <w:tcPr>
            <w:tcW w:w="3143"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190,070,000.00</w:t>
            </w:r>
          </w:p>
        </w:tc>
      </w:tr>
      <w:tr w:rsidR="000B609E">
        <w:trPr>
          <w:trHeight w:hRule="exact" w:val="454"/>
        </w:trPr>
        <w:tc>
          <w:tcPr>
            <w:tcW w:w="4076"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Total</w:t>
            </w:r>
          </w:p>
        </w:tc>
        <w:tc>
          <w:tcPr>
            <w:tcW w:w="2309"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18"/>
                <w:szCs w:val="18"/>
              </w:rPr>
            </w:pPr>
            <w:r>
              <w:rPr>
                <w:rFonts w:ascii="Arial Narrow" w:hAnsi="Arial Narrow" w:cs="Calibri" w:hint="eastAsia"/>
                <w:b/>
                <w:bCs/>
              </w:rPr>
              <w:t>-</w:t>
            </w:r>
          </w:p>
        </w:tc>
        <w:tc>
          <w:tcPr>
            <w:tcW w:w="3143"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18"/>
                <w:szCs w:val="18"/>
              </w:rPr>
            </w:pPr>
            <w:r>
              <w:rPr>
                <w:rFonts w:ascii="Arial Narrow" w:eastAsia="宋体" w:hAnsi="Arial Narrow" w:cs="Arial Narrow" w:hint="eastAsia"/>
                <w:b/>
                <w:bCs/>
                <w:snapToGrid w:val="0"/>
                <w:kern w:val="0"/>
                <w:sz w:val="18"/>
                <w:szCs w:val="18"/>
              </w:rPr>
              <w:t>190,070,000.00</w:t>
            </w:r>
          </w:p>
        </w:tc>
      </w:tr>
    </w:tbl>
    <w:p w:rsidR="000B609E" w:rsidRDefault="00B220E1">
      <w:pPr>
        <w:spacing w:beforeLines="50" w:before="156"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Note: T</w:t>
      </w:r>
      <w:r>
        <w:rPr>
          <w:rFonts w:ascii="Times New Roman" w:hAnsi="Times New Roman" w:cs="Times New Roman"/>
          <w:sz w:val="24"/>
          <w:szCs w:val="24"/>
        </w:rPr>
        <w:t>he rights belonged to investors of guaranteed wealth management products are shown in the part of deposits from customers.</w:t>
      </w:r>
    </w:p>
    <w:p w:rsidR="000B609E" w:rsidRDefault="00B220E1">
      <w:pPr>
        <w:pStyle w:val="11"/>
        <w:numPr>
          <w:ilvl w:val="0"/>
          <w:numId w:val="35"/>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hint="eastAsia"/>
          <w:sz w:val="24"/>
          <w:szCs w:val="24"/>
        </w:rPr>
        <w:t xml:space="preserve">nterests in </w:t>
      </w:r>
      <w:r>
        <w:rPr>
          <w:rFonts w:ascii="Times New Roman" w:hAnsi="Times New Roman" w:cs="Times New Roman"/>
          <w:sz w:val="24"/>
          <w:szCs w:val="24"/>
        </w:rPr>
        <w:t>unconsolidated</w:t>
      </w:r>
      <w:r>
        <w:rPr>
          <w:rFonts w:ascii="Times New Roman" w:hAnsi="Times New Roman" w:cs="Times New Roman" w:hint="eastAsia"/>
          <w:sz w:val="24"/>
          <w:szCs w:val="24"/>
        </w:rPr>
        <w:t xml:space="preserve"> s</w:t>
      </w:r>
      <w:r>
        <w:rPr>
          <w:rFonts w:ascii="Times New Roman" w:hAnsi="Times New Roman" w:cs="Times New Roman"/>
          <w:sz w:val="24"/>
          <w:szCs w:val="24"/>
        </w:rPr>
        <w:t xml:space="preserve">tructured entities </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Unconsolidated structured entities managed by the Group</w:t>
      </w:r>
      <w:r>
        <w:rPr>
          <w:rFonts w:ascii="Times New Roman" w:hAnsi="Times New Roman" w:cs="Times New Roman" w:hint="eastAsia"/>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sz w:val="24"/>
          <w:szCs w:val="24"/>
        </w:rPr>
        <w:t xml:space="preserve">1). Interests structured entities that the group is the sponsor but not included in the scope of the consolidated financial statements </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w:t>
      </w:r>
      <w:r>
        <w:rPr>
          <w:rFonts w:ascii="Times New Roman" w:hAnsi="Times New Roman" w:cs="Times New Roman"/>
          <w:sz w:val="24"/>
          <w:szCs w:val="24"/>
        </w:rPr>
        <w:t>he structured entities that managed by the group but not included in the scope of the consolidated financial statements are mainly wealth management products issued and managed by the group as an agent.</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Based on the research and analysis about potential customers, the group designs and sells the </w:t>
      </w:r>
      <w:r>
        <w:rPr>
          <w:rFonts w:ascii="Times New Roman" w:hAnsi="Times New Roman" w:cs="Times New Roman" w:hint="eastAsia"/>
          <w:sz w:val="24"/>
          <w:szCs w:val="24"/>
        </w:rPr>
        <w:t xml:space="preserve">capital investments and management plans to the specific target customers, and established on the agreement of products contracts, puts the financial funds raised into related financial markets or investing in related financial products. After obtaining investment income, it will be distributed to the investors with the agreements of contracts. The group as an </w:t>
      </w:r>
      <w:proofErr w:type="gramStart"/>
      <w:r>
        <w:rPr>
          <w:rFonts w:ascii="Times New Roman" w:hAnsi="Times New Roman" w:cs="Times New Roman" w:hint="eastAsia"/>
          <w:sz w:val="24"/>
          <w:szCs w:val="24"/>
        </w:rPr>
        <w:t>assets</w:t>
      </w:r>
      <w:proofErr w:type="gramEnd"/>
      <w:r>
        <w:rPr>
          <w:rFonts w:ascii="Times New Roman" w:hAnsi="Times New Roman" w:cs="Times New Roman" w:hint="eastAsia"/>
          <w:sz w:val="24"/>
          <w:szCs w:val="24"/>
        </w:rPr>
        <w:t xml:space="preserve"> manager will charge fees as income such as handling fees, custody fees and management fees. The Group believes that the variable returns related to these structured entities are not significant. </w:t>
      </w:r>
    </w:p>
    <w:p w:rsidR="00DF783A" w:rsidRDefault="00DF783A">
      <w:pPr>
        <w:spacing w:after="156" w:line="360" w:lineRule="auto"/>
        <w:ind w:firstLine="480"/>
        <w:rPr>
          <w:rFonts w:ascii="Times New Roman" w:hAnsi="Times New Roman" w:cs="Times New Roman"/>
          <w:sz w:val="24"/>
          <w:szCs w:val="24"/>
        </w:rPr>
      </w:pPr>
    </w:p>
    <w:tbl>
      <w:tblPr>
        <w:tblW w:w="9375" w:type="dxa"/>
        <w:tblInd w:w="-439"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3972"/>
        <w:gridCol w:w="2671"/>
        <w:gridCol w:w="2732"/>
      </w:tblGrid>
      <w:tr w:rsidR="000B609E">
        <w:trPr>
          <w:trHeight w:val="320"/>
        </w:trPr>
        <w:tc>
          <w:tcPr>
            <w:tcW w:w="3972" w:type="dxa"/>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lastRenderedPageBreak/>
              <w:t>Items</w:t>
            </w:r>
          </w:p>
        </w:tc>
        <w:tc>
          <w:tcPr>
            <w:tcW w:w="2671" w:type="dxa"/>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20</w:t>
            </w:r>
            <w:r>
              <w:rPr>
                <w:rFonts w:ascii="Times New Roman" w:eastAsia="宋体" w:hAnsi="Times New Roman" w:cs="Times New Roman" w:hint="eastAsia"/>
                <w:b/>
                <w:bCs/>
                <w:kern w:val="0"/>
                <w:sz w:val="18"/>
                <w:szCs w:val="18"/>
              </w:rPr>
              <w:t>20</w:t>
            </w:r>
          </w:p>
        </w:tc>
        <w:tc>
          <w:tcPr>
            <w:tcW w:w="2732" w:type="dxa"/>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2019</w:t>
            </w:r>
          </w:p>
        </w:tc>
      </w:tr>
      <w:tr w:rsidR="000B609E">
        <w:trPr>
          <w:trHeight w:val="320"/>
        </w:trPr>
        <w:tc>
          <w:tcPr>
            <w:tcW w:w="3972" w:type="dxa"/>
            <w:shd w:val="clear" w:color="auto" w:fill="auto"/>
            <w:vAlign w:val="center"/>
          </w:tcPr>
          <w:p w:rsidR="000B609E" w:rsidRDefault="00B220E1">
            <w:pPr>
              <w:spacing w:after="156"/>
              <w:ind w:firstLineChars="0" w:firstLine="0"/>
              <w:jc w:val="both"/>
              <w:rPr>
                <w:rFonts w:ascii="宋体" w:hAnsi="宋体" w:cs="宋体"/>
              </w:rPr>
            </w:pPr>
            <w:r>
              <w:rPr>
                <w:rFonts w:ascii="Times New Roman" w:hAnsi="Times New Roman" w:cs="Times New Roman" w:hint="eastAsia"/>
                <w:sz w:val="18"/>
                <w:szCs w:val="18"/>
              </w:rPr>
              <w:t>Off-balance sheet financial management</w:t>
            </w:r>
          </w:p>
        </w:tc>
        <w:tc>
          <w:tcPr>
            <w:tcW w:w="2671" w:type="dxa"/>
            <w:shd w:val="clear" w:color="auto" w:fill="FFFFFF"/>
            <w:vAlign w:val="center"/>
          </w:tcPr>
          <w:p w:rsidR="000B609E" w:rsidRDefault="00B220E1">
            <w:pPr>
              <w:spacing w:after="156"/>
              <w:ind w:firstLine="420"/>
              <w:jc w:val="right"/>
              <w:textAlignment w:val="center"/>
              <w:rPr>
                <w:rFonts w:ascii="Arial Narrow" w:hAnsi="Arial Narrow" w:cs="Arial Narrow"/>
              </w:rPr>
            </w:pPr>
            <w:r>
              <w:rPr>
                <w:rFonts w:ascii="Arial Narrow" w:hAnsi="Arial Narrow" w:cs="Arial Narrow" w:hint="eastAsia"/>
              </w:rPr>
              <w:t>-</w:t>
            </w:r>
          </w:p>
        </w:tc>
        <w:tc>
          <w:tcPr>
            <w:tcW w:w="2732" w:type="dxa"/>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8,900,000.00</w:t>
            </w:r>
          </w:p>
        </w:tc>
      </w:tr>
      <w:tr w:rsidR="000B609E">
        <w:trPr>
          <w:trHeight w:val="320"/>
        </w:trPr>
        <w:tc>
          <w:tcPr>
            <w:tcW w:w="3972" w:type="dxa"/>
            <w:shd w:val="clear" w:color="auto" w:fill="auto"/>
            <w:vAlign w:val="center"/>
          </w:tcPr>
          <w:p w:rsidR="000B609E" w:rsidRDefault="00B220E1">
            <w:pPr>
              <w:spacing w:after="156"/>
              <w:ind w:firstLine="361"/>
              <w:jc w:val="center"/>
              <w:rPr>
                <w:rFonts w:ascii="宋体" w:hAnsi="宋体" w:cs="宋体"/>
                <w:b/>
                <w:color w:val="000000"/>
              </w:rPr>
            </w:pPr>
            <w:r>
              <w:rPr>
                <w:rFonts w:ascii="Times New Roman" w:eastAsia="宋体" w:hAnsi="Times New Roman" w:cs="Times New Roman" w:hint="eastAsia"/>
                <w:b/>
                <w:color w:val="000000"/>
                <w:kern w:val="0"/>
                <w:sz w:val="18"/>
                <w:szCs w:val="18"/>
              </w:rPr>
              <w:t>Total</w:t>
            </w:r>
          </w:p>
        </w:tc>
        <w:tc>
          <w:tcPr>
            <w:tcW w:w="2671" w:type="dxa"/>
            <w:shd w:val="clear" w:color="auto" w:fill="FFFFFF"/>
            <w:vAlign w:val="center"/>
          </w:tcPr>
          <w:p w:rsidR="000B609E" w:rsidRDefault="00B220E1">
            <w:pPr>
              <w:spacing w:after="156"/>
              <w:ind w:firstLine="422"/>
              <w:jc w:val="right"/>
              <w:textAlignment w:val="center"/>
              <w:rPr>
                <w:rFonts w:ascii="Arial Narrow" w:hAnsi="Arial Narrow" w:cs="Arial Narrow"/>
                <w:b/>
                <w:bCs/>
              </w:rPr>
            </w:pPr>
            <w:r>
              <w:rPr>
                <w:rFonts w:ascii="Arial Narrow" w:hAnsi="Arial Narrow" w:cs="Arial Narrow" w:hint="eastAsia"/>
                <w:b/>
                <w:bCs/>
              </w:rPr>
              <w:t>-</w:t>
            </w:r>
          </w:p>
        </w:tc>
        <w:tc>
          <w:tcPr>
            <w:tcW w:w="2732" w:type="dxa"/>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18"/>
                <w:szCs w:val="18"/>
              </w:rPr>
            </w:pPr>
            <w:r>
              <w:rPr>
                <w:rFonts w:ascii="Arial Narrow" w:eastAsia="宋体" w:hAnsi="Arial Narrow" w:cs="Arial Narrow" w:hint="eastAsia"/>
                <w:b/>
                <w:bCs/>
                <w:snapToGrid w:val="0"/>
                <w:kern w:val="0"/>
                <w:sz w:val="18"/>
                <w:szCs w:val="18"/>
              </w:rPr>
              <w:t>8,900,000.00</w:t>
            </w:r>
          </w:p>
        </w:tc>
      </w:tr>
    </w:tbl>
    <w:p w:rsidR="000B609E" w:rsidRDefault="00B220E1">
      <w:pPr>
        <w:spacing w:after="156" w:line="360" w:lineRule="auto"/>
        <w:ind w:firstLine="480"/>
        <w:rPr>
          <w:rFonts w:ascii="Times New Roman" w:hAnsi="Times New Roman" w:cs="Times New Roman"/>
          <w:sz w:val="24"/>
          <w:szCs w:val="24"/>
          <w:highlight w:val="yellow"/>
        </w:rPr>
      </w:pPr>
      <w:r>
        <w:rPr>
          <w:rFonts w:ascii="Times New Roman" w:hAnsi="Times New Roman" w:cs="Times New Roman" w:hint="eastAsia"/>
          <w:sz w:val="24"/>
          <w:szCs w:val="24"/>
        </w:rPr>
        <w:t xml:space="preserve">(2). </w:t>
      </w:r>
      <w:r>
        <w:rPr>
          <w:rFonts w:ascii="Times New Roman" w:hAnsi="Times New Roman" w:cs="Times New Roman"/>
          <w:sz w:val="24"/>
          <w:szCs w:val="24"/>
        </w:rPr>
        <w:t xml:space="preserve"> Interests in structured entities that issued and managed by independent third parities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The group has rights by investing in structured entities issued and managed by independent third parties. These structured entities are not included in the scope of the group</w:t>
      </w:r>
      <w:r>
        <w:rPr>
          <w:rFonts w:ascii="Times New Roman" w:hAnsi="Times New Roman" w:cs="Times New Roman"/>
          <w:sz w:val="24"/>
          <w:szCs w:val="24"/>
        </w:rPr>
        <w:t>’</w:t>
      </w:r>
      <w:r>
        <w:rPr>
          <w:rFonts w:ascii="Times New Roman" w:hAnsi="Times New Roman" w:cs="Times New Roman" w:hint="eastAsia"/>
          <w:sz w:val="24"/>
          <w:szCs w:val="24"/>
        </w:rPr>
        <w:t>s consolidated financial statements, mainly consist of funds, investment products, asset management plans etc. accounted for in debt investment. The characters and purposes of those structured entities are obtaining income by using funds in better methods.</w:t>
      </w:r>
      <w:r>
        <w:rPr>
          <w:rFonts w:ascii="Times New Roman" w:hAnsi="Times New Roman" w:cs="Times New Roman"/>
          <w:sz w:val="24"/>
          <w:szCs w:val="24"/>
        </w:rPr>
        <w:t xml:space="preserve"> The Group did not provide </w:t>
      </w:r>
      <w:r>
        <w:rPr>
          <w:rFonts w:ascii="Times New Roman" w:hAnsi="Times New Roman" w:cs="Times New Roman" w:hint="eastAsia"/>
          <w:sz w:val="24"/>
          <w:szCs w:val="24"/>
        </w:rPr>
        <w:t>liquidity</w:t>
      </w:r>
      <w:r>
        <w:rPr>
          <w:rFonts w:ascii="Times New Roman" w:hAnsi="Times New Roman" w:cs="Times New Roman"/>
          <w:sz w:val="24"/>
          <w:szCs w:val="24"/>
        </w:rPr>
        <w:t xml:space="preserve"> support to these</w:t>
      </w:r>
      <w:r>
        <w:rPr>
          <w:rFonts w:ascii="Times New Roman" w:hAnsi="Times New Roman" w:cs="Times New Roman" w:hint="eastAsia"/>
          <w:sz w:val="24"/>
          <w:szCs w:val="24"/>
        </w:rPr>
        <w:t xml:space="preserve"> </w:t>
      </w:r>
      <w:r>
        <w:rPr>
          <w:rFonts w:ascii="Times New Roman" w:hAnsi="Times New Roman" w:cs="Times New Roman"/>
          <w:sz w:val="24"/>
          <w:szCs w:val="24"/>
        </w:rPr>
        <w:t>structured entities in 20</w:t>
      </w:r>
      <w:r>
        <w:rPr>
          <w:rFonts w:ascii="Times New Roman" w:hAnsi="Times New Roman" w:cs="Times New Roman" w:hint="eastAsia"/>
          <w:sz w:val="24"/>
          <w:szCs w:val="24"/>
        </w:rPr>
        <w:t>20</w:t>
      </w:r>
      <w:r>
        <w:rPr>
          <w:rFonts w:ascii="Times New Roman" w:hAnsi="Times New Roman" w:cs="Times New Roman"/>
          <w:sz w:val="24"/>
          <w:szCs w:val="24"/>
        </w:rPr>
        <w: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In 2020, the group did not provide financial support to the structured entities with specific purposes that were not included into the scope of consolidation.</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As at 31 December 2020, the group did not hold these unconsolidated structured entities.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As at 31 December </w:t>
      </w:r>
      <w:r>
        <w:rPr>
          <w:rFonts w:ascii="Times New Roman" w:hAnsi="Times New Roman" w:cs="Times New Roman" w:hint="eastAsia"/>
          <w:sz w:val="24"/>
          <w:szCs w:val="24"/>
        </w:rPr>
        <w:t>2019</w:t>
      </w:r>
      <w:r>
        <w:rPr>
          <w:rFonts w:ascii="Times New Roman" w:hAnsi="Times New Roman" w:cs="Times New Roman"/>
          <w:sz w:val="24"/>
          <w:szCs w:val="24"/>
        </w:rPr>
        <w:t>,</w:t>
      </w:r>
      <w:r>
        <w:rPr>
          <w:rFonts w:ascii="Times New Roman" w:hAnsi="Times New Roman" w:cs="Times New Roman" w:hint="eastAsia"/>
          <w:sz w:val="24"/>
          <w:szCs w:val="24"/>
        </w:rPr>
        <w:t xml:space="preserve"> t</w:t>
      </w:r>
      <w:r>
        <w:rPr>
          <w:rFonts w:ascii="Times New Roman" w:hAnsi="Times New Roman" w:cs="Times New Roman"/>
          <w:sz w:val="24"/>
          <w:szCs w:val="24"/>
        </w:rPr>
        <w:t>he carrying value of assets of these unconsolidated structured entities and the Group’s maximum risk exposure on loss are listed as follows:</w:t>
      </w:r>
    </w:p>
    <w:tbl>
      <w:tblPr>
        <w:tblW w:w="9379" w:type="dxa"/>
        <w:jc w:val="center"/>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2877"/>
        <w:gridCol w:w="1889"/>
        <w:gridCol w:w="1842"/>
        <w:gridCol w:w="2771"/>
      </w:tblGrid>
      <w:tr w:rsidR="000B609E">
        <w:trPr>
          <w:trHeight w:hRule="exact" w:val="1361"/>
          <w:jc w:val="center"/>
        </w:trPr>
        <w:tc>
          <w:tcPr>
            <w:tcW w:w="2877"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Items</w:t>
            </w:r>
          </w:p>
        </w:tc>
        <w:tc>
          <w:tcPr>
            <w:tcW w:w="1889" w:type="dxa"/>
            <w:vAlign w:val="center"/>
          </w:tcPr>
          <w:p w:rsidR="000B609E" w:rsidRDefault="00B220E1">
            <w:pPr>
              <w:spacing w:after="156" w:line="360" w:lineRule="auto"/>
              <w:ind w:firstLineChars="0" w:firstLine="0"/>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Transaction monetary assets</w:t>
            </w:r>
          </w:p>
        </w:tc>
        <w:tc>
          <w:tcPr>
            <w:tcW w:w="1842"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kern w:val="0"/>
                <w:sz w:val="18"/>
                <w:szCs w:val="18"/>
              </w:rPr>
              <w:t>Total</w:t>
            </w:r>
          </w:p>
        </w:tc>
        <w:tc>
          <w:tcPr>
            <w:tcW w:w="2771" w:type="dxa"/>
            <w:shd w:val="clear" w:color="auto" w:fill="auto"/>
            <w:vAlign w:val="center"/>
          </w:tcPr>
          <w:p w:rsidR="000B609E" w:rsidRDefault="00B220E1">
            <w:pPr>
              <w:spacing w:after="156" w:line="360" w:lineRule="auto"/>
              <w:ind w:firstLineChars="0" w:firstLine="0"/>
              <w:jc w:val="center"/>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M</w:t>
            </w:r>
            <w:r>
              <w:rPr>
                <w:rFonts w:ascii="Times New Roman" w:eastAsia="宋体" w:hAnsi="Times New Roman" w:cs="Times New Roman"/>
                <w:b/>
                <w:bCs/>
                <w:kern w:val="0"/>
                <w:sz w:val="18"/>
                <w:szCs w:val="18"/>
              </w:rPr>
              <w:t>aximum risk</w:t>
            </w:r>
          </w:p>
          <w:p w:rsidR="000B609E" w:rsidRDefault="00B220E1">
            <w:pPr>
              <w:spacing w:after="156" w:line="360" w:lineRule="auto"/>
              <w:ind w:firstLineChars="0" w:firstLine="0"/>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exposure on loss</w:t>
            </w:r>
          </w:p>
        </w:tc>
      </w:tr>
      <w:tr w:rsidR="000B609E">
        <w:trPr>
          <w:trHeight w:hRule="exact" w:val="454"/>
          <w:jc w:val="center"/>
        </w:trPr>
        <w:tc>
          <w:tcPr>
            <w:tcW w:w="2877" w:type="dxa"/>
            <w:shd w:val="clear" w:color="auto" w:fill="auto"/>
            <w:vAlign w:val="center"/>
          </w:tcPr>
          <w:p w:rsidR="000B609E" w:rsidRDefault="00B220E1">
            <w:pPr>
              <w:spacing w:after="156" w:line="360" w:lineRule="auto"/>
              <w:ind w:firstLineChars="0" w:firstLine="0"/>
              <w:rPr>
                <w:rFonts w:ascii="Times New Roman" w:eastAsia="宋体" w:hAnsi="Times New Roman" w:cs="Times New Roman"/>
                <w:color w:val="000000"/>
                <w:kern w:val="0"/>
                <w:sz w:val="18"/>
                <w:szCs w:val="18"/>
              </w:rPr>
            </w:pPr>
            <w:r>
              <w:rPr>
                <w:rFonts w:ascii="Times New Roman" w:eastAsia="宋体" w:hAnsi="Times New Roman" w:cs="Times New Roman"/>
                <w:snapToGrid w:val="0"/>
                <w:color w:val="000000"/>
                <w:kern w:val="0"/>
                <w:sz w:val="18"/>
                <w:szCs w:val="18"/>
                <w:lang w:val="en-GB"/>
              </w:rPr>
              <w:t>Asset management plans</w:t>
            </w:r>
          </w:p>
        </w:tc>
        <w:tc>
          <w:tcPr>
            <w:tcW w:w="1889" w:type="dxa"/>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48,750,000.00</w:t>
            </w:r>
          </w:p>
        </w:tc>
        <w:tc>
          <w:tcPr>
            <w:tcW w:w="1842"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48,750,000.00</w:t>
            </w:r>
          </w:p>
        </w:tc>
        <w:tc>
          <w:tcPr>
            <w:tcW w:w="2771"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48,750,000.00</w:t>
            </w:r>
          </w:p>
        </w:tc>
      </w:tr>
      <w:tr w:rsidR="000B609E">
        <w:trPr>
          <w:trHeight w:hRule="exact" w:val="454"/>
          <w:jc w:val="center"/>
        </w:trPr>
        <w:tc>
          <w:tcPr>
            <w:tcW w:w="2877"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Total</w:t>
            </w:r>
          </w:p>
        </w:tc>
        <w:tc>
          <w:tcPr>
            <w:tcW w:w="1889" w:type="dxa"/>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18"/>
                <w:szCs w:val="18"/>
              </w:rPr>
            </w:pPr>
            <w:r>
              <w:rPr>
                <w:rFonts w:ascii="Arial Narrow" w:eastAsia="宋体" w:hAnsi="Arial Narrow" w:cs="Arial Narrow" w:hint="eastAsia"/>
                <w:b/>
                <w:bCs/>
                <w:snapToGrid w:val="0"/>
                <w:kern w:val="0"/>
                <w:sz w:val="18"/>
                <w:szCs w:val="18"/>
              </w:rPr>
              <w:t>48,750,000.00</w:t>
            </w:r>
          </w:p>
        </w:tc>
        <w:tc>
          <w:tcPr>
            <w:tcW w:w="1842"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18"/>
                <w:szCs w:val="18"/>
              </w:rPr>
            </w:pPr>
            <w:r>
              <w:rPr>
                <w:rFonts w:ascii="Arial Narrow" w:eastAsia="宋体" w:hAnsi="Arial Narrow" w:cs="Arial Narrow" w:hint="eastAsia"/>
                <w:b/>
                <w:bCs/>
                <w:snapToGrid w:val="0"/>
                <w:kern w:val="0"/>
                <w:sz w:val="18"/>
                <w:szCs w:val="18"/>
              </w:rPr>
              <w:t>48,750,000.00</w:t>
            </w:r>
          </w:p>
        </w:tc>
        <w:tc>
          <w:tcPr>
            <w:tcW w:w="2771"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18"/>
                <w:szCs w:val="18"/>
              </w:rPr>
            </w:pPr>
            <w:r>
              <w:rPr>
                <w:rFonts w:ascii="Arial Narrow" w:eastAsia="宋体" w:hAnsi="Arial Narrow" w:cs="Arial Narrow" w:hint="eastAsia"/>
                <w:b/>
                <w:bCs/>
                <w:snapToGrid w:val="0"/>
                <w:kern w:val="0"/>
                <w:sz w:val="18"/>
                <w:szCs w:val="18"/>
              </w:rPr>
              <w:t>48,750,000.00</w:t>
            </w:r>
          </w:p>
        </w:tc>
      </w:tr>
    </w:tbl>
    <w:p w:rsidR="000B609E" w:rsidRDefault="00B220E1">
      <w:pPr>
        <w:pStyle w:val="1"/>
        <w:numPr>
          <w:ilvl w:val="0"/>
          <w:numId w:val="11"/>
        </w:numPr>
        <w:spacing w:beforeLines="50" w:before="156" w:after="10" w:line="360" w:lineRule="auto"/>
        <w:ind w:left="0" w:firstLine="482"/>
        <w:rPr>
          <w:rFonts w:ascii="Times New Roman" w:hAnsi="Times New Roman" w:cs="Times New Roman"/>
          <w:sz w:val="24"/>
          <w:szCs w:val="24"/>
        </w:rPr>
      </w:pPr>
      <w:r>
        <w:rPr>
          <w:rFonts w:ascii="Times New Roman" w:hAnsi="Times New Roman" w:cs="Times New Roman"/>
          <w:sz w:val="24"/>
          <w:szCs w:val="24"/>
        </w:rPr>
        <w:lastRenderedPageBreak/>
        <w:t>CONTINGENCIES</w:t>
      </w:r>
    </w:p>
    <w:p w:rsidR="000B609E" w:rsidRDefault="00B220E1">
      <w:pPr>
        <w:pStyle w:val="11"/>
        <w:numPr>
          <w:ilvl w:val="0"/>
          <w:numId w:val="37"/>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Legal proceedings</w:t>
      </w:r>
      <w:bookmarkStart w:id="4" w:name="_GoBack"/>
      <w:bookmarkEnd w:id="4"/>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As at 31 December 20</w:t>
      </w:r>
      <w:r>
        <w:rPr>
          <w:rFonts w:ascii="Times New Roman" w:hAnsi="Times New Roman" w:cs="Times New Roman" w:hint="eastAsia"/>
          <w:sz w:val="24"/>
          <w:szCs w:val="24"/>
        </w:rPr>
        <w:t>20, the summary of the legal proceedings</w:t>
      </w:r>
      <w:r>
        <w:t xml:space="preserve"> </w:t>
      </w:r>
      <w:r>
        <w:rPr>
          <w:rFonts w:ascii="Times New Roman" w:hAnsi="Times New Roman" w:cs="Times New Roman"/>
          <w:sz w:val="24"/>
          <w:szCs w:val="24"/>
        </w:rPr>
        <w:t>was</w:t>
      </w:r>
      <w:r>
        <w:rPr>
          <w:rFonts w:ascii="Times New Roman" w:hAnsi="Times New Roman" w:cs="Times New Roman" w:hint="eastAsia"/>
          <w:sz w:val="24"/>
          <w:szCs w:val="24"/>
        </w:rPr>
        <w:t xml:space="preserve"> </w:t>
      </w:r>
      <w:r w:rsidR="0084721B" w:rsidRPr="0084721B">
        <w:rPr>
          <w:rFonts w:ascii="Times New Roman" w:hAnsi="Times New Roman" w:cs="Times New Roman"/>
          <w:sz w:val="24"/>
          <w:szCs w:val="24"/>
        </w:rPr>
        <w:t>22,835.51</w:t>
      </w:r>
      <w:r>
        <w:rPr>
          <w:rFonts w:ascii="Times New Roman" w:hAnsi="Times New Roman" w:cs="Times New Roman" w:hint="eastAsia"/>
          <w:sz w:val="24"/>
          <w:szCs w:val="24"/>
        </w:rPr>
        <w:t xml:space="preserve"> </w:t>
      </w:r>
      <w:r>
        <w:rPr>
          <w:rFonts w:ascii="Times New Roman" w:hAnsi="Times New Roman" w:cs="Times New Roman"/>
          <w:sz w:val="24"/>
          <w:szCs w:val="24"/>
        </w:rPr>
        <w:t>ten thousand RMB</w:t>
      </w:r>
      <w:r>
        <w:rPr>
          <w:rFonts w:ascii="Times New Roman" w:hAnsi="Times New Roman" w:cs="Times New Roman" w:hint="eastAsia"/>
          <w:sz w:val="24"/>
          <w:szCs w:val="24"/>
        </w:rPr>
        <w:t xml:space="preserve">, which against by the Group and related amount is over 10 </w:t>
      </w:r>
      <w:r>
        <w:rPr>
          <w:rFonts w:ascii="Times New Roman" w:hAnsi="Times New Roman" w:cs="Times New Roman"/>
          <w:sz w:val="24"/>
          <w:szCs w:val="24"/>
        </w:rPr>
        <w:t>million</w:t>
      </w:r>
      <w:r>
        <w:rPr>
          <w:rFonts w:ascii="Times New Roman" w:hAnsi="Times New Roman" w:cs="Times New Roman" w:hint="eastAsia"/>
          <w:sz w:val="24"/>
          <w:szCs w:val="24"/>
        </w:rPr>
        <w:t xml:space="preserve"> RMB. </w:t>
      </w:r>
    </w:p>
    <w:p w:rsidR="000B609E" w:rsidRDefault="00B220E1">
      <w:pPr>
        <w:pStyle w:val="11"/>
        <w:numPr>
          <w:ilvl w:val="0"/>
          <w:numId w:val="37"/>
        </w:numPr>
        <w:spacing w:after="156"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Pledged assets</w:t>
      </w:r>
    </w:p>
    <w:tbl>
      <w:tblPr>
        <w:tblW w:w="9408" w:type="dxa"/>
        <w:tblInd w:w="-424"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5000"/>
        <w:gridCol w:w="2204"/>
        <w:gridCol w:w="2204"/>
      </w:tblGrid>
      <w:tr w:rsidR="000B609E">
        <w:trPr>
          <w:trHeight w:val="211"/>
          <w:tblHeader/>
        </w:trPr>
        <w:tc>
          <w:tcPr>
            <w:tcW w:w="5000"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Items</w:t>
            </w:r>
          </w:p>
        </w:tc>
        <w:tc>
          <w:tcPr>
            <w:tcW w:w="2204" w:type="dxa"/>
            <w:shd w:val="clear" w:color="auto" w:fill="auto"/>
            <w:vAlign w:val="center"/>
          </w:tcPr>
          <w:p w:rsidR="000B609E" w:rsidRDefault="00B220E1">
            <w:pPr>
              <w:spacing w:after="156" w:line="360" w:lineRule="auto"/>
              <w:ind w:firstLine="361"/>
              <w:jc w:val="center"/>
              <w:rPr>
                <w:rFonts w:ascii="宋体" w:hAnsi="宋体" w:cs="Calibri"/>
                <w:b/>
                <w:bCs/>
              </w:rPr>
            </w:pPr>
            <w:r>
              <w:rPr>
                <w:rFonts w:ascii="Times New Roman" w:eastAsia="宋体" w:hAnsi="Times New Roman" w:cs="Times New Roman" w:hint="eastAsia"/>
                <w:b/>
                <w:color w:val="000000"/>
                <w:kern w:val="0"/>
                <w:sz w:val="18"/>
                <w:szCs w:val="18"/>
              </w:rPr>
              <w:t>2020-12-31</w:t>
            </w:r>
          </w:p>
        </w:tc>
        <w:tc>
          <w:tcPr>
            <w:tcW w:w="2204"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color w:val="000000"/>
                <w:kern w:val="0"/>
                <w:sz w:val="18"/>
                <w:szCs w:val="18"/>
              </w:rPr>
            </w:pPr>
            <w:r>
              <w:rPr>
                <w:rFonts w:ascii="Times New Roman" w:eastAsia="宋体" w:hAnsi="Times New Roman" w:cs="Times New Roman" w:hint="eastAsia"/>
                <w:b/>
                <w:color w:val="000000"/>
                <w:kern w:val="0"/>
                <w:sz w:val="18"/>
                <w:szCs w:val="18"/>
              </w:rPr>
              <w:t>2019-12-31</w:t>
            </w:r>
          </w:p>
        </w:tc>
      </w:tr>
      <w:tr w:rsidR="000B609E">
        <w:trPr>
          <w:trHeight w:hRule="exact" w:val="454"/>
        </w:trPr>
        <w:tc>
          <w:tcPr>
            <w:tcW w:w="5000" w:type="dxa"/>
            <w:shd w:val="clear" w:color="auto" w:fill="auto"/>
            <w:vAlign w:val="center"/>
          </w:tcPr>
          <w:p w:rsidR="000B609E" w:rsidRDefault="00B220E1">
            <w:pPr>
              <w:spacing w:after="156" w:line="360" w:lineRule="auto"/>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Repurchase agreements</w:t>
            </w:r>
            <w:r>
              <w:rPr>
                <w:rFonts w:ascii="Times New Roman" w:eastAsia="宋体" w:hAnsi="Times New Roman" w:cs="Times New Roman" w:hint="eastAsia"/>
                <w:kern w:val="0"/>
                <w:sz w:val="18"/>
                <w:szCs w:val="18"/>
              </w:rPr>
              <w:t>：</w:t>
            </w:r>
          </w:p>
        </w:tc>
        <w:tc>
          <w:tcPr>
            <w:tcW w:w="2204" w:type="dxa"/>
            <w:shd w:val="clear" w:color="auto" w:fill="auto"/>
            <w:vAlign w:val="center"/>
          </w:tcPr>
          <w:p w:rsidR="000B609E" w:rsidRDefault="000B609E">
            <w:pPr>
              <w:spacing w:after="156"/>
              <w:ind w:firstLine="360"/>
              <w:jc w:val="right"/>
              <w:rPr>
                <w:rFonts w:ascii="Arial Narrow" w:hAnsi="Arial Narrow" w:cs="Calibri"/>
                <w:sz w:val="18"/>
                <w:szCs w:val="18"/>
              </w:rPr>
            </w:pPr>
          </w:p>
        </w:tc>
        <w:tc>
          <w:tcPr>
            <w:tcW w:w="2204" w:type="dxa"/>
            <w:shd w:val="clear" w:color="auto" w:fill="auto"/>
            <w:vAlign w:val="center"/>
          </w:tcPr>
          <w:p w:rsidR="000B609E" w:rsidRDefault="000B609E">
            <w:pPr>
              <w:spacing w:after="156"/>
              <w:ind w:firstLine="360"/>
              <w:jc w:val="right"/>
              <w:rPr>
                <w:rFonts w:ascii="Arial Narrow" w:hAnsi="Arial Narrow" w:cs="Calibri"/>
                <w:sz w:val="18"/>
                <w:szCs w:val="18"/>
              </w:rPr>
            </w:pPr>
          </w:p>
        </w:tc>
      </w:tr>
      <w:tr w:rsidR="000B609E">
        <w:trPr>
          <w:trHeight w:hRule="exact" w:val="454"/>
        </w:trPr>
        <w:tc>
          <w:tcPr>
            <w:tcW w:w="5000" w:type="dxa"/>
            <w:shd w:val="clear" w:color="auto" w:fill="auto"/>
            <w:vAlign w:val="center"/>
          </w:tcPr>
          <w:p w:rsidR="000B609E" w:rsidRDefault="00B220E1">
            <w:pPr>
              <w:spacing w:after="156" w:line="360" w:lineRule="auto"/>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Bonds</w:t>
            </w:r>
          </w:p>
        </w:tc>
        <w:tc>
          <w:tcPr>
            <w:tcW w:w="2204" w:type="dxa"/>
            <w:shd w:val="clear" w:color="auto" w:fill="auto"/>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cs="宋体"/>
                <w:color w:val="000000"/>
                <w:sz w:val="20"/>
                <w:szCs w:val="20"/>
              </w:rPr>
              <w:t>33,782,238.04</w:t>
            </w:r>
          </w:p>
        </w:tc>
        <w:tc>
          <w:tcPr>
            <w:tcW w:w="2204" w:type="dxa"/>
            <w:shd w:val="clear" w:color="auto" w:fill="auto"/>
          </w:tcPr>
          <w:p w:rsidR="000B609E" w:rsidRDefault="00B220E1">
            <w:pPr>
              <w:spacing w:after="156" w:line="360" w:lineRule="auto"/>
              <w:ind w:firstLineChars="0" w:firstLine="0"/>
              <w:jc w:val="right"/>
              <w:rPr>
                <w:rFonts w:ascii="Arial Narrow" w:hAnsi="Arial Narrow" w:cs="宋体"/>
                <w:color w:val="000000"/>
                <w:sz w:val="20"/>
                <w:szCs w:val="20"/>
              </w:rPr>
            </w:pPr>
            <w:r>
              <w:rPr>
                <w:rFonts w:ascii="Arial Narrow" w:hAnsi="Arial Narrow" w:cs="宋体" w:hint="eastAsia"/>
                <w:color w:val="000000"/>
                <w:sz w:val="20"/>
                <w:szCs w:val="20"/>
              </w:rPr>
              <w:t>497,000,000.00</w:t>
            </w:r>
          </w:p>
        </w:tc>
      </w:tr>
      <w:tr w:rsidR="000B609E">
        <w:trPr>
          <w:trHeight w:hRule="exact" w:val="454"/>
        </w:trPr>
        <w:tc>
          <w:tcPr>
            <w:tcW w:w="5000" w:type="dxa"/>
            <w:shd w:val="clear" w:color="auto" w:fill="auto"/>
            <w:vAlign w:val="center"/>
          </w:tcPr>
          <w:p w:rsidR="000B609E" w:rsidRDefault="00B220E1">
            <w:pPr>
              <w:spacing w:after="156" w:line="360" w:lineRule="auto"/>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Borrowings from the central bank:</w:t>
            </w:r>
          </w:p>
        </w:tc>
        <w:tc>
          <w:tcPr>
            <w:tcW w:w="2204" w:type="dxa"/>
            <w:shd w:val="clear" w:color="auto" w:fill="auto"/>
          </w:tcPr>
          <w:p w:rsidR="000B609E" w:rsidRDefault="00DF783A">
            <w:pPr>
              <w:spacing w:after="156" w:line="360" w:lineRule="auto"/>
              <w:ind w:firstLineChars="0" w:firstLine="0"/>
              <w:jc w:val="right"/>
              <w:rPr>
                <w:rFonts w:ascii="Arial Narrow" w:hAnsi="Arial Narrow" w:cs="宋体"/>
                <w:b/>
                <w:color w:val="000000"/>
                <w:sz w:val="20"/>
                <w:szCs w:val="20"/>
              </w:rPr>
            </w:pPr>
            <w:r>
              <w:rPr>
                <w:rFonts w:ascii="Arial Narrow" w:hAnsi="Arial Narrow" w:cs="宋体" w:hint="eastAsia"/>
                <w:b/>
                <w:color w:val="000000"/>
                <w:sz w:val="20"/>
                <w:szCs w:val="20"/>
              </w:rPr>
              <w:t>-</w:t>
            </w:r>
          </w:p>
        </w:tc>
        <w:tc>
          <w:tcPr>
            <w:tcW w:w="2204" w:type="dxa"/>
            <w:shd w:val="clear" w:color="auto" w:fill="auto"/>
          </w:tcPr>
          <w:p w:rsidR="000B609E" w:rsidRDefault="00DF783A">
            <w:pPr>
              <w:spacing w:after="156" w:line="360" w:lineRule="auto"/>
              <w:ind w:firstLineChars="0" w:firstLine="0"/>
              <w:jc w:val="right"/>
              <w:rPr>
                <w:rFonts w:ascii="Arial Narrow" w:hAnsi="Arial Narrow" w:cs="宋体"/>
                <w:b/>
                <w:color w:val="000000"/>
                <w:sz w:val="20"/>
                <w:szCs w:val="20"/>
              </w:rPr>
            </w:pPr>
            <w:r>
              <w:rPr>
                <w:rFonts w:ascii="Arial Narrow" w:hAnsi="Arial Narrow" w:cs="宋体" w:hint="eastAsia"/>
                <w:b/>
                <w:color w:val="000000"/>
                <w:sz w:val="20"/>
                <w:szCs w:val="20"/>
              </w:rPr>
              <w:t>-</w:t>
            </w:r>
          </w:p>
        </w:tc>
      </w:tr>
      <w:tr w:rsidR="0084721B">
        <w:trPr>
          <w:trHeight w:hRule="exact" w:val="454"/>
        </w:trPr>
        <w:tc>
          <w:tcPr>
            <w:tcW w:w="5000" w:type="dxa"/>
            <w:shd w:val="clear" w:color="auto" w:fill="auto"/>
            <w:vAlign w:val="center"/>
          </w:tcPr>
          <w:p w:rsidR="0084721B" w:rsidRDefault="0084721B" w:rsidP="0084721B">
            <w:pPr>
              <w:spacing w:after="156" w:line="360" w:lineRule="auto"/>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Bonds</w:t>
            </w:r>
          </w:p>
        </w:tc>
        <w:tc>
          <w:tcPr>
            <w:tcW w:w="2204" w:type="dxa"/>
            <w:shd w:val="clear" w:color="auto" w:fill="auto"/>
          </w:tcPr>
          <w:p w:rsidR="0084721B" w:rsidRPr="0084721B" w:rsidRDefault="0084721B" w:rsidP="0084721B">
            <w:pPr>
              <w:spacing w:after="156" w:line="360" w:lineRule="auto"/>
              <w:ind w:firstLineChars="0" w:firstLine="0"/>
              <w:jc w:val="right"/>
              <w:rPr>
                <w:rFonts w:ascii="Arial Narrow" w:hAnsi="Arial Narrow" w:cs="宋体"/>
                <w:color w:val="000000"/>
                <w:sz w:val="20"/>
                <w:szCs w:val="20"/>
              </w:rPr>
            </w:pPr>
            <w:r w:rsidRPr="0084721B">
              <w:rPr>
                <w:rFonts w:ascii="Arial Narrow" w:hAnsi="Arial Narrow" w:cs="宋体"/>
                <w:color w:val="000000"/>
                <w:sz w:val="20"/>
                <w:szCs w:val="20"/>
              </w:rPr>
              <w:t>439,431,116.80</w:t>
            </w:r>
          </w:p>
        </w:tc>
        <w:tc>
          <w:tcPr>
            <w:tcW w:w="2204" w:type="dxa"/>
            <w:shd w:val="clear" w:color="auto" w:fill="auto"/>
          </w:tcPr>
          <w:p w:rsidR="0084721B" w:rsidRDefault="0084721B" w:rsidP="0084721B">
            <w:pPr>
              <w:spacing w:after="156" w:line="360" w:lineRule="auto"/>
              <w:ind w:firstLineChars="0" w:firstLine="0"/>
              <w:jc w:val="right"/>
              <w:rPr>
                <w:rFonts w:ascii="Arial Narrow" w:hAnsi="Arial Narrow" w:cs="宋体"/>
                <w:b/>
                <w:color w:val="000000"/>
                <w:sz w:val="20"/>
                <w:szCs w:val="20"/>
              </w:rPr>
            </w:pPr>
            <w:r>
              <w:rPr>
                <w:rFonts w:ascii="Arial Narrow" w:hAnsi="Arial Narrow" w:cs="宋体" w:hint="eastAsia"/>
                <w:b/>
                <w:color w:val="000000"/>
                <w:sz w:val="20"/>
                <w:szCs w:val="20"/>
              </w:rPr>
              <w:t>-</w:t>
            </w:r>
          </w:p>
        </w:tc>
      </w:tr>
      <w:tr w:rsidR="0084721B" w:rsidTr="00FC5921">
        <w:trPr>
          <w:trHeight w:hRule="exact" w:val="454"/>
        </w:trPr>
        <w:tc>
          <w:tcPr>
            <w:tcW w:w="5000" w:type="dxa"/>
            <w:shd w:val="clear" w:color="auto" w:fill="auto"/>
            <w:vAlign w:val="center"/>
          </w:tcPr>
          <w:p w:rsidR="0084721B" w:rsidRDefault="0084721B" w:rsidP="0084721B">
            <w:pPr>
              <w:spacing w:after="156" w:line="360" w:lineRule="auto"/>
              <w:ind w:firstLine="361"/>
              <w:jc w:val="center"/>
              <w:rPr>
                <w:rFonts w:ascii="Times New Roman" w:eastAsia="宋体" w:hAnsi="Times New Roman" w:cs="Times New Roman"/>
                <w:b/>
                <w:color w:val="000000"/>
                <w:kern w:val="0"/>
                <w:sz w:val="18"/>
                <w:szCs w:val="18"/>
              </w:rPr>
            </w:pPr>
            <w:r>
              <w:rPr>
                <w:rFonts w:ascii="Times New Roman" w:eastAsia="宋体" w:hAnsi="Times New Roman" w:cs="Times New Roman"/>
                <w:b/>
                <w:color w:val="000000"/>
                <w:kern w:val="0"/>
                <w:sz w:val="18"/>
                <w:szCs w:val="18"/>
              </w:rPr>
              <w:t>Total</w:t>
            </w:r>
          </w:p>
        </w:tc>
        <w:tc>
          <w:tcPr>
            <w:tcW w:w="2204" w:type="dxa"/>
            <w:shd w:val="clear" w:color="auto" w:fill="auto"/>
            <w:vAlign w:val="center"/>
          </w:tcPr>
          <w:p w:rsidR="0084721B" w:rsidRPr="0084721B" w:rsidRDefault="0084721B" w:rsidP="0084721B">
            <w:pPr>
              <w:spacing w:after="156" w:line="360" w:lineRule="auto"/>
              <w:ind w:firstLineChars="0" w:firstLine="0"/>
              <w:jc w:val="right"/>
              <w:rPr>
                <w:rFonts w:ascii="Arial Narrow" w:hAnsi="Arial Narrow" w:cs="宋体"/>
                <w:b/>
                <w:bCs/>
                <w:color w:val="000000"/>
                <w:sz w:val="20"/>
                <w:szCs w:val="20"/>
              </w:rPr>
            </w:pPr>
            <w:r w:rsidRPr="0084721B">
              <w:rPr>
                <w:rFonts w:ascii="Arial Narrow" w:hAnsi="Arial Narrow" w:cs="宋体"/>
                <w:b/>
                <w:bCs/>
                <w:color w:val="000000"/>
                <w:sz w:val="20"/>
                <w:szCs w:val="20"/>
              </w:rPr>
              <w:t>473,213,354.84</w:t>
            </w:r>
          </w:p>
        </w:tc>
        <w:tc>
          <w:tcPr>
            <w:tcW w:w="2204" w:type="dxa"/>
            <w:shd w:val="clear" w:color="auto" w:fill="auto"/>
          </w:tcPr>
          <w:p w:rsidR="0084721B" w:rsidRDefault="0084721B" w:rsidP="0084721B">
            <w:pPr>
              <w:spacing w:after="156" w:line="360" w:lineRule="auto"/>
              <w:ind w:firstLineChars="0" w:firstLine="0"/>
              <w:jc w:val="right"/>
              <w:rPr>
                <w:rFonts w:ascii="Arial Narrow" w:hAnsi="Arial Narrow" w:cs="宋体"/>
                <w:b/>
                <w:color w:val="000000"/>
                <w:sz w:val="20"/>
                <w:szCs w:val="20"/>
              </w:rPr>
            </w:pPr>
            <w:r>
              <w:rPr>
                <w:rFonts w:ascii="Arial Narrow" w:hAnsi="Arial Narrow" w:cs="宋体" w:hint="eastAsia"/>
                <w:b/>
                <w:bCs/>
                <w:color w:val="000000"/>
                <w:sz w:val="20"/>
                <w:szCs w:val="20"/>
              </w:rPr>
              <w:t>497,000,000.00</w:t>
            </w:r>
          </w:p>
        </w:tc>
      </w:tr>
    </w:tbl>
    <w:p w:rsidR="000B609E" w:rsidRDefault="00B220E1">
      <w:pPr>
        <w:pStyle w:val="1"/>
        <w:numPr>
          <w:ilvl w:val="0"/>
          <w:numId w:val="11"/>
        </w:numPr>
        <w:spacing w:beforeLines="50" w:before="156" w:after="10" w:line="360" w:lineRule="auto"/>
        <w:ind w:left="0" w:firstLine="482"/>
        <w:rPr>
          <w:rFonts w:ascii="Times New Roman" w:hAnsi="Times New Roman" w:cs="Times New Roman"/>
          <w:sz w:val="24"/>
          <w:szCs w:val="24"/>
        </w:rPr>
      </w:pPr>
      <w:r>
        <w:rPr>
          <w:rFonts w:ascii="Times New Roman" w:hAnsi="Times New Roman" w:cs="Times New Roman" w:hint="eastAsia"/>
          <w:sz w:val="24"/>
          <w:szCs w:val="24"/>
        </w:rPr>
        <w:t>MAIN OFF-BALANCE</w:t>
      </w:r>
      <w:r>
        <w:rPr>
          <w:rFonts w:ascii="Times New Roman" w:hAnsi="Times New Roman" w:cs="Times New Roman"/>
          <w:sz w:val="24"/>
          <w:szCs w:val="24"/>
        </w:rPr>
        <w:t xml:space="preserve"> </w:t>
      </w:r>
      <w:r>
        <w:rPr>
          <w:rFonts w:ascii="Times New Roman" w:hAnsi="Times New Roman" w:cs="Times New Roman" w:hint="eastAsia"/>
          <w:sz w:val="24"/>
          <w:szCs w:val="24"/>
        </w:rPr>
        <w:t>SHEET</w:t>
      </w:r>
      <w:r>
        <w:rPr>
          <w:rFonts w:ascii="Times New Roman" w:hAnsi="Times New Roman" w:cs="Times New Roman"/>
          <w:sz w:val="24"/>
          <w:szCs w:val="24"/>
        </w:rPr>
        <w:t xml:space="preserve"> </w:t>
      </w:r>
      <w:r>
        <w:rPr>
          <w:rFonts w:ascii="Times New Roman" w:hAnsi="Times New Roman" w:cs="Times New Roman" w:hint="eastAsia"/>
          <w:sz w:val="24"/>
          <w:szCs w:val="24"/>
        </w:rPr>
        <w:t>ITEMS</w:t>
      </w:r>
    </w:p>
    <w:tbl>
      <w:tblPr>
        <w:tblW w:w="9396" w:type="dxa"/>
        <w:tblInd w:w="-424"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3009"/>
        <w:gridCol w:w="1960"/>
        <w:gridCol w:w="2035"/>
        <w:gridCol w:w="2392"/>
      </w:tblGrid>
      <w:tr w:rsidR="000B609E">
        <w:trPr>
          <w:trHeight w:val="270"/>
        </w:trPr>
        <w:tc>
          <w:tcPr>
            <w:tcW w:w="3009"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Items</w:t>
            </w:r>
          </w:p>
        </w:tc>
        <w:tc>
          <w:tcPr>
            <w:tcW w:w="1960"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Amount</w:t>
            </w:r>
          </w:p>
        </w:tc>
        <w:tc>
          <w:tcPr>
            <w:tcW w:w="2035"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Pledged deposits</w:t>
            </w:r>
          </w:p>
        </w:tc>
        <w:tc>
          <w:tcPr>
            <w:tcW w:w="2392" w:type="dxa"/>
            <w:shd w:val="clear" w:color="auto" w:fill="auto"/>
            <w:vAlign w:val="center"/>
          </w:tcPr>
          <w:p w:rsidR="000B609E" w:rsidRDefault="00B220E1">
            <w:pPr>
              <w:spacing w:after="156" w:line="360" w:lineRule="auto"/>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Ratio (%)</w:t>
            </w:r>
          </w:p>
        </w:tc>
      </w:tr>
      <w:tr w:rsidR="000B609E">
        <w:trPr>
          <w:trHeight w:hRule="exact" w:val="454"/>
        </w:trPr>
        <w:tc>
          <w:tcPr>
            <w:tcW w:w="3009" w:type="dxa"/>
            <w:shd w:val="clear" w:color="auto" w:fill="auto"/>
            <w:vAlign w:val="center"/>
          </w:tcPr>
          <w:p w:rsidR="000B609E" w:rsidRDefault="00B220E1">
            <w:pPr>
              <w:spacing w:after="156" w:line="360" w:lineRule="auto"/>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Bank acceptance notes</w:t>
            </w:r>
          </w:p>
        </w:tc>
        <w:tc>
          <w:tcPr>
            <w:tcW w:w="1960"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245,367,605.25</w:t>
            </w:r>
          </w:p>
        </w:tc>
        <w:tc>
          <w:tcPr>
            <w:tcW w:w="2035"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166,401,976.34</w:t>
            </w:r>
          </w:p>
        </w:tc>
        <w:tc>
          <w:tcPr>
            <w:tcW w:w="2392"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67.82%</w:t>
            </w:r>
          </w:p>
        </w:tc>
      </w:tr>
      <w:tr w:rsidR="000B609E">
        <w:trPr>
          <w:trHeight w:hRule="exact" w:val="454"/>
        </w:trPr>
        <w:tc>
          <w:tcPr>
            <w:tcW w:w="3009" w:type="dxa"/>
            <w:shd w:val="clear" w:color="auto" w:fill="auto"/>
            <w:vAlign w:val="center"/>
          </w:tcPr>
          <w:p w:rsidR="000B609E" w:rsidRDefault="00B220E1">
            <w:pPr>
              <w:spacing w:after="156" w:line="360" w:lineRule="auto"/>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Letter of guarantee issued</w:t>
            </w:r>
          </w:p>
        </w:tc>
        <w:tc>
          <w:tcPr>
            <w:tcW w:w="1960"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34,422,540.88</w:t>
            </w:r>
          </w:p>
        </w:tc>
        <w:tc>
          <w:tcPr>
            <w:tcW w:w="2035"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31,862,540.88</w:t>
            </w:r>
          </w:p>
        </w:tc>
        <w:tc>
          <w:tcPr>
            <w:tcW w:w="2392"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92.56%</w:t>
            </w:r>
          </w:p>
        </w:tc>
      </w:tr>
      <w:tr w:rsidR="000B609E">
        <w:trPr>
          <w:trHeight w:hRule="exact" w:val="454"/>
        </w:trPr>
        <w:tc>
          <w:tcPr>
            <w:tcW w:w="3009" w:type="dxa"/>
            <w:shd w:val="clear" w:color="auto" w:fill="auto"/>
            <w:vAlign w:val="center"/>
          </w:tcPr>
          <w:p w:rsidR="000B609E" w:rsidRDefault="00B220E1">
            <w:pPr>
              <w:spacing w:after="156" w:line="360" w:lineRule="auto"/>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Letter of credit issued</w:t>
            </w:r>
          </w:p>
        </w:tc>
        <w:tc>
          <w:tcPr>
            <w:tcW w:w="1960"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123,588,842.57</w:t>
            </w:r>
          </w:p>
        </w:tc>
        <w:tc>
          <w:tcPr>
            <w:tcW w:w="2035"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10,440,000.00</w:t>
            </w:r>
          </w:p>
        </w:tc>
        <w:tc>
          <w:tcPr>
            <w:tcW w:w="2392"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8.45%</w:t>
            </w:r>
          </w:p>
        </w:tc>
      </w:tr>
      <w:tr w:rsidR="000B609E">
        <w:trPr>
          <w:trHeight w:hRule="exact" w:val="454"/>
        </w:trPr>
        <w:tc>
          <w:tcPr>
            <w:tcW w:w="3009" w:type="dxa"/>
            <w:shd w:val="clear" w:color="auto" w:fill="auto"/>
            <w:vAlign w:val="center"/>
          </w:tcPr>
          <w:p w:rsidR="000B609E" w:rsidRDefault="00B220E1">
            <w:pPr>
              <w:spacing w:after="156" w:line="360" w:lineRule="auto"/>
              <w:ind w:firstLineChars="600" w:firstLine="1084"/>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960"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20"/>
                <w:szCs w:val="20"/>
              </w:rPr>
            </w:pPr>
            <w:r>
              <w:rPr>
                <w:rFonts w:ascii="Arial Narrow" w:hAnsi="Arial Narrow" w:cs="Calibri"/>
                <w:b/>
                <w:bCs/>
                <w:sz w:val="20"/>
                <w:szCs w:val="20"/>
              </w:rPr>
              <w:t>403,378,988.70</w:t>
            </w:r>
          </w:p>
        </w:tc>
        <w:tc>
          <w:tcPr>
            <w:tcW w:w="2035"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20"/>
                <w:szCs w:val="20"/>
              </w:rPr>
            </w:pPr>
            <w:r>
              <w:rPr>
                <w:rFonts w:ascii="Arial Narrow" w:hAnsi="Arial Narrow" w:cs="Calibri"/>
                <w:b/>
                <w:bCs/>
                <w:sz w:val="20"/>
                <w:szCs w:val="20"/>
              </w:rPr>
              <w:t>208,704,517.22</w:t>
            </w:r>
          </w:p>
        </w:tc>
        <w:tc>
          <w:tcPr>
            <w:tcW w:w="2392" w:type="dxa"/>
            <w:shd w:val="clear" w:color="auto" w:fill="auto"/>
            <w:vAlign w:val="center"/>
          </w:tcPr>
          <w:p w:rsidR="000B609E" w:rsidRDefault="00B220E1">
            <w:pPr>
              <w:spacing w:after="156" w:line="360" w:lineRule="auto"/>
              <w:ind w:firstLineChars="0" w:firstLine="0"/>
              <w:jc w:val="right"/>
              <w:rPr>
                <w:rFonts w:ascii="Arial Narrow" w:eastAsia="宋体" w:hAnsi="Arial Narrow" w:cs="Arial Narrow"/>
                <w:b/>
                <w:bCs/>
                <w:snapToGrid w:val="0"/>
                <w:kern w:val="0"/>
                <w:sz w:val="20"/>
                <w:szCs w:val="20"/>
              </w:rPr>
            </w:pPr>
            <w:r>
              <w:rPr>
                <w:rFonts w:ascii="Arial Narrow" w:hAnsi="Arial Narrow" w:cs="Calibri"/>
                <w:b/>
                <w:bCs/>
                <w:sz w:val="20"/>
                <w:szCs w:val="20"/>
              </w:rPr>
              <w:t>51.74%</w:t>
            </w:r>
          </w:p>
        </w:tc>
      </w:tr>
    </w:tbl>
    <w:p w:rsidR="000B609E" w:rsidRDefault="00B220E1">
      <w:pPr>
        <w:spacing w:beforeLines="50" w:before="156" w:after="156" w:line="360" w:lineRule="auto"/>
        <w:ind w:firstLine="480"/>
        <w:rPr>
          <w:rFonts w:ascii="Times New Roman" w:hAnsi="Times New Roman" w:cs="Times New Roman"/>
          <w:sz w:val="24"/>
          <w:szCs w:val="24"/>
        </w:rPr>
      </w:pPr>
      <w:r>
        <w:rPr>
          <w:rFonts w:ascii="Times New Roman" w:hAnsi="Times New Roman" w:cs="Times New Roman"/>
          <w:sz w:val="24"/>
          <w:szCs w:val="24"/>
        </w:rPr>
        <w:t>Bank acceptance note is a type of credit business that signed by receivers or payers (or acceptance applicants), applied by the acceptance applicants and accepted by the bank after investigation.</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Letter of guarantee issued is a type of credit business that based on the requirements of applicants, making a guarantee to the beneficiaries through a contract that when there is no performance of the obligations or commitments stipulated in the </w:t>
      </w:r>
      <w:r>
        <w:rPr>
          <w:rFonts w:ascii="Times New Roman" w:hAnsi="Times New Roman" w:cs="Times New Roman"/>
          <w:sz w:val="24"/>
          <w:szCs w:val="24"/>
        </w:rPr>
        <w:lastRenderedPageBreak/>
        <w:t xml:space="preserve">contract by applicants, the bank has to perform the debt business or assume the responsibility of the credit business as agreed in the letter of guarantee. </w:t>
      </w:r>
    </w:p>
    <w:p w:rsidR="000B609E" w:rsidRDefault="00B220E1">
      <w:pPr>
        <w:pStyle w:val="1"/>
        <w:numPr>
          <w:ilvl w:val="0"/>
          <w:numId w:val="11"/>
        </w:numPr>
        <w:spacing w:before="0" w:after="10" w:line="360" w:lineRule="auto"/>
        <w:ind w:left="0" w:firstLine="482"/>
        <w:rPr>
          <w:rFonts w:ascii="Times New Roman" w:hAnsi="Times New Roman" w:cs="Times New Roman"/>
          <w:sz w:val="24"/>
          <w:szCs w:val="24"/>
        </w:rPr>
      </w:pPr>
      <w:r>
        <w:rPr>
          <w:rFonts w:ascii="Times New Roman" w:hAnsi="Times New Roman" w:cs="Times New Roman" w:hint="eastAsia"/>
          <w:sz w:val="24"/>
          <w:szCs w:val="24"/>
        </w:rPr>
        <w:t>TRANSACTIONS WITH</w:t>
      </w:r>
      <w:r>
        <w:rPr>
          <w:rFonts w:ascii="Times New Roman" w:hAnsi="Times New Roman" w:cs="Times New Roman"/>
          <w:sz w:val="24"/>
          <w:szCs w:val="24"/>
        </w:rPr>
        <w:t xml:space="preserve"> RELATED PARTIES</w:t>
      </w:r>
    </w:p>
    <w:p w:rsidR="000B609E" w:rsidRDefault="00B220E1">
      <w:pPr>
        <w:pStyle w:val="11"/>
        <w:numPr>
          <w:ilvl w:val="0"/>
          <w:numId w:val="38"/>
        </w:numPr>
        <w:spacing w:beforeLines="50" w:before="156" w:after="156" w:line="360" w:lineRule="auto"/>
        <w:ind w:left="0" w:firstLine="482"/>
        <w:rPr>
          <w:rFonts w:ascii="Times New Roman" w:hAnsi="Times New Roman" w:cs="Times New Roman"/>
          <w:b/>
          <w:bCs/>
          <w:sz w:val="24"/>
          <w:szCs w:val="24"/>
        </w:rPr>
      </w:pPr>
      <w:r>
        <w:rPr>
          <w:rFonts w:ascii="Times New Roman" w:hAnsi="Times New Roman" w:cs="Times New Roman" w:hint="eastAsia"/>
          <w:b/>
          <w:bCs/>
          <w:sz w:val="24"/>
          <w:szCs w:val="24"/>
        </w:rPr>
        <w:t>Relationships between related parties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one party has the ability to control, joint control the other party or have a significant impact on the other party's financial</w:t>
      </w:r>
      <w:r>
        <w:rPr>
          <w:rFonts w:ascii="Times New Roman" w:hAnsi="Times New Roman" w:cs="Times New Roman" w:hint="eastAsia"/>
          <w:sz w:val="24"/>
          <w:szCs w:val="24"/>
        </w:rPr>
        <w:t xml:space="preserve"> statements</w:t>
      </w:r>
      <w:r>
        <w:rPr>
          <w:rFonts w:ascii="Times New Roman" w:hAnsi="Times New Roman" w:cs="Times New Roman"/>
          <w:sz w:val="24"/>
          <w:szCs w:val="24"/>
        </w:rPr>
        <w:t xml:space="preserve"> and operating decisions, or one party with the other or more parties is subject to the control, joint control or significant influence of one party, </w:t>
      </w:r>
      <w:r>
        <w:rPr>
          <w:rFonts w:ascii="Times New Roman" w:hAnsi="Times New Roman" w:cs="Times New Roman" w:hint="eastAsia"/>
          <w:sz w:val="24"/>
          <w:szCs w:val="24"/>
        </w:rPr>
        <w:t>they shall be</w:t>
      </w:r>
      <w:r>
        <w:rPr>
          <w:rFonts w:ascii="Times New Roman" w:hAnsi="Times New Roman" w:cs="Times New Roman"/>
          <w:sz w:val="24"/>
          <w:szCs w:val="24"/>
        </w:rPr>
        <w:t xml:space="preserve"> deemed to be related. </w:t>
      </w:r>
      <w:r>
        <w:rPr>
          <w:rFonts w:ascii="Times New Roman" w:hAnsi="Times New Roman" w:cs="Times New Roman" w:hint="eastAsia"/>
          <w:sz w:val="24"/>
          <w:szCs w:val="24"/>
        </w:rPr>
        <w:t xml:space="preserve">Both </w:t>
      </w:r>
      <w:r>
        <w:rPr>
          <w:rFonts w:ascii="Times New Roman" w:hAnsi="Times New Roman" w:cs="Times New Roman"/>
          <w:sz w:val="24"/>
          <w:szCs w:val="24"/>
        </w:rPr>
        <w:t xml:space="preserve">Individuals </w:t>
      </w:r>
      <w:r>
        <w:rPr>
          <w:rFonts w:ascii="Times New Roman" w:hAnsi="Times New Roman" w:cs="Times New Roman" w:hint="eastAsia"/>
          <w:sz w:val="24"/>
          <w:szCs w:val="24"/>
        </w:rPr>
        <w:t>and</w:t>
      </w:r>
      <w:r>
        <w:rPr>
          <w:rFonts w:ascii="Times New Roman" w:hAnsi="Times New Roman" w:cs="Times New Roman"/>
          <w:sz w:val="24"/>
          <w:szCs w:val="24"/>
        </w:rPr>
        <w:t xml:space="preserve"> </w:t>
      </w:r>
      <w:r>
        <w:rPr>
          <w:rFonts w:ascii="Times New Roman" w:hAnsi="Times New Roman" w:cs="Times New Roman" w:hint="eastAsia"/>
          <w:sz w:val="24"/>
          <w:szCs w:val="24"/>
        </w:rPr>
        <w:t>companies</w:t>
      </w:r>
      <w:r>
        <w:rPr>
          <w:rFonts w:ascii="Times New Roman" w:hAnsi="Times New Roman" w:cs="Times New Roman"/>
          <w:sz w:val="24"/>
          <w:szCs w:val="24"/>
        </w:rPr>
        <w:t xml:space="preserve"> </w:t>
      </w:r>
      <w:r>
        <w:rPr>
          <w:rFonts w:ascii="Times New Roman" w:hAnsi="Times New Roman" w:cs="Times New Roman" w:hint="eastAsia"/>
          <w:sz w:val="24"/>
          <w:szCs w:val="24"/>
        </w:rPr>
        <w:t>may</w:t>
      </w:r>
      <w:r>
        <w:rPr>
          <w:rFonts w:ascii="Times New Roman" w:hAnsi="Times New Roman" w:cs="Times New Roman"/>
          <w:sz w:val="24"/>
          <w:szCs w:val="24"/>
        </w:rPr>
        <w:t xml:space="preserve"> become related parties.</w:t>
      </w:r>
    </w:p>
    <w:p w:rsidR="000B609E" w:rsidRDefault="00B220E1">
      <w:pPr>
        <w:pStyle w:val="11"/>
        <w:numPr>
          <w:ilvl w:val="0"/>
          <w:numId w:val="38"/>
        </w:numPr>
        <w:spacing w:after="156" w:line="360" w:lineRule="auto"/>
        <w:ind w:left="0" w:firstLine="482"/>
        <w:rPr>
          <w:rFonts w:ascii="Times New Roman" w:hAnsi="Times New Roman" w:cs="Times New Roman"/>
          <w:b/>
          <w:bCs/>
          <w:sz w:val="24"/>
          <w:szCs w:val="24"/>
        </w:rPr>
      </w:pPr>
      <w:r>
        <w:rPr>
          <w:rFonts w:ascii="Times New Roman" w:hAnsi="Times New Roman" w:cs="Times New Roman"/>
          <w:b/>
          <w:bCs/>
          <w:sz w:val="24"/>
          <w:szCs w:val="24"/>
        </w:rPr>
        <w:t>Subsidiaries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general information of the Company’s subsidiaries, please refer to Note </w:t>
      </w:r>
      <w:r>
        <w:rPr>
          <w:rFonts w:ascii="Times New Roman" w:hAnsi="Times New Roman" w:cs="Times New Roman" w:hint="eastAsia"/>
          <w:sz w:val="24"/>
          <w:szCs w:val="24"/>
        </w:rPr>
        <w:t>6</w:t>
      </w:r>
      <w:r>
        <w:rPr>
          <w:rFonts w:ascii="Times New Roman" w:hAnsi="Times New Roman" w:cs="Times New Roman"/>
          <w:sz w:val="24"/>
          <w:szCs w:val="24"/>
        </w:rPr>
        <w:t>: Preparation of consolidated financial statements</w:t>
      </w:r>
    </w:p>
    <w:p w:rsidR="000B609E" w:rsidRDefault="00B220E1">
      <w:pPr>
        <w:pStyle w:val="11"/>
        <w:numPr>
          <w:ilvl w:val="0"/>
          <w:numId w:val="38"/>
        </w:numPr>
        <w:spacing w:after="156" w:line="360" w:lineRule="auto"/>
        <w:ind w:firstLineChars="0"/>
        <w:rPr>
          <w:rFonts w:ascii="Times New Roman" w:hAnsi="Times New Roman" w:cs="Times New Roman"/>
          <w:b/>
          <w:bCs/>
          <w:sz w:val="24"/>
          <w:szCs w:val="24"/>
        </w:rPr>
      </w:pPr>
      <w:r>
        <w:rPr>
          <w:rFonts w:ascii="Times New Roman" w:hAnsi="Times New Roman" w:cs="Times New Roman"/>
          <w:b/>
          <w:bCs/>
          <w:sz w:val="24"/>
          <w:szCs w:val="24"/>
        </w:rPr>
        <w:t>Associates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general information of associates, please refer to Note </w:t>
      </w:r>
      <w:r>
        <w:rPr>
          <w:rFonts w:ascii="Times New Roman" w:hAnsi="Times New Roman" w:cs="Times New Roman" w:hint="eastAsia"/>
          <w:sz w:val="24"/>
          <w:szCs w:val="24"/>
        </w:rPr>
        <w:t>12</w:t>
      </w:r>
      <w:r>
        <w:rPr>
          <w:rFonts w:ascii="Times New Roman" w:hAnsi="Times New Roman" w:cs="Times New Roman"/>
          <w:sz w:val="24"/>
          <w:szCs w:val="24"/>
        </w:rPr>
        <w:t>:</w:t>
      </w:r>
      <w:r>
        <w:rPr>
          <w:rFonts w:ascii="Times New Roman" w:hAnsi="Times New Roman" w:cs="Times New Roman" w:hint="eastAsia"/>
          <w:sz w:val="24"/>
          <w:szCs w:val="24"/>
        </w:rPr>
        <w:t xml:space="preserve"> Long-term equity investment.</w:t>
      </w:r>
    </w:p>
    <w:p w:rsidR="000B609E" w:rsidRDefault="00B220E1">
      <w:pPr>
        <w:pStyle w:val="11"/>
        <w:numPr>
          <w:ilvl w:val="0"/>
          <w:numId w:val="38"/>
        </w:numPr>
        <w:spacing w:after="156" w:line="360" w:lineRule="auto"/>
        <w:ind w:left="0" w:firstLine="482"/>
        <w:rPr>
          <w:rFonts w:ascii="Times New Roman" w:hAnsi="Times New Roman" w:cs="Times New Roman"/>
          <w:b/>
          <w:bCs/>
          <w:sz w:val="24"/>
          <w:szCs w:val="24"/>
        </w:rPr>
      </w:pPr>
      <w:r>
        <w:rPr>
          <w:rFonts w:ascii="Times New Roman" w:hAnsi="Times New Roman" w:cs="Times New Roman"/>
          <w:b/>
          <w:bCs/>
          <w:sz w:val="24"/>
          <w:szCs w:val="24"/>
        </w:rPr>
        <w:t>O</w:t>
      </w:r>
      <w:r>
        <w:rPr>
          <w:rFonts w:ascii="Times New Roman" w:hAnsi="Times New Roman" w:cs="Times New Roman" w:hint="eastAsia"/>
          <w:b/>
          <w:bCs/>
          <w:sz w:val="24"/>
          <w:szCs w:val="24"/>
        </w:rPr>
        <w:t>ther related parties</w:t>
      </w:r>
    </w:p>
    <w:p w:rsidR="000B609E" w:rsidRDefault="00B220E1">
      <w:pPr>
        <w:spacing w:after="156" w:line="360" w:lineRule="auto"/>
        <w:ind w:firstLine="480"/>
        <w:rPr>
          <w:rFonts w:ascii="Times New Roman" w:hAnsi="Times New Roman" w:cs="Times New Roman"/>
          <w:kern w:val="0"/>
          <w:sz w:val="24"/>
          <w:szCs w:val="24"/>
        </w:rPr>
      </w:pPr>
      <w:r>
        <w:rPr>
          <w:rFonts w:ascii="Times New Roman" w:hAnsi="Times New Roman" w:cs="Times New Roman"/>
          <w:kern w:val="0"/>
          <w:sz w:val="24"/>
          <w:szCs w:val="24"/>
        </w:rPr>
        <w:t>The related parties of the Company mainly include the major shareholders who hold 5% or more ordinary shares of the Company, key management personnel of the Company (including directors, supervisors and senior management personnel) and their close family members, and the companies that are controlled, or under common control of, or significant influenced by these key management personnel and their close family members.</w:t>
      </w:r>
      <w:r>
        <w:rPr>
          <w:rFonts w:ascii="Times New Roman" w:hAnsi="Times New Roman" w:cs="Times New Roman" w:hint="eastAsia"/>
          <w:kern w:val="0"/>
          <w:sz w:val="24"/>
          <w:szCs w:val="24"/>
        </w:rPr>
        <w:t xml:space="preserve"> Meanwhile</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 xml:space="preserve">the bank </w:t>
      </w:r>
      <w:r>
        <w:rPr>
          <w:rFonts w:ascii="Times New Roman" w:hAnsi="Times New Roman" w:cs="Times New Roman"/>
          <w:kern w:val="0"/>
          <w:sz w:val="24"/>
          <w:szCs w:val="24"/>
        </w:rPr>
        <w:t>recognize</w:t>
      </w:r>
      <w:r>
        <w:rPr>
          <w:rFonts w:ascii="Times New Roman" w:hAnsi="Times New Roman" w:cs="Times New Roman" w:hint="eastAsia"/>
          <w:kern w:val="0"/>
          <w:sz w:val="24"/>
          <w:szCs w:val="24"/>
        </w:rPr>
        <w:t xml:space="preserve">d the </w:t>
      </w:r>
      <w:r>
        <w:rPr>
          <w:rFonts w:ascii="Times New Roman" w:hAnsi="Times New Roman" w:cs="Times New Roman"/>
          <w:kern w:val="0"/>
          <w:sz w:val="24"/>
          <w:szCs w:val="24"/>
        </w:rPr>
        <w:t>related</w:t>
      </w:r>
      <w:r>
        <w:rPr>
          <w:rFonts w:ascii="Times New Roman" w:hAnsi="Times New Roman" w:cs="Times New Roman" w:hint="eastAsia"/>
          <w:kern w:val="0"/>
          <w:sz w:val="24"/>
          <w:szCs w:val="24"/>
        </w:rPr>
        <w:t xml:space="preserve"> parties based on the </w:t>
      </w:r>
      <w:r>
        <w:rPr>
          <w:rFonts w:ascii="Times New Roman" w:hAnsi="Times New Roman" w:cs="Times New Roman"/>
          <w:kern w:val="0"/>
          <w:sz w:val="24"/>
          <w:szCs w:val="24"/>
        </w:rPr>
        <w:t>“Measures for the Administration of Related Transactions between Commercial Banks and Insiders and Shareholders”</w:t>
      </w:r>
      <w:r>
        <w:rPr>
          <w:rFonts w:ascii="Times New Roman" w:hAnsi="Times New Roman" w:cs="Times New Roman" w:hint="eastAsia"/>
          <w:kern w:val="0"/>
          <w:sz w:val="24"/>
          <w:szCs w:val="24"/>
        </w:rPr>
        <w:t>.</w:t>
      </w:r>
    </w:p>
    <w:p w:rsidR="000B609E" w:rsidRDefault="00B220E1">
      <w:pPr>
        <w:spacing w:beforeLines="50" w:before="156" w:after="156" w:line="360" w:lineRule="auto"/>
        <w:ind w:firstLine="480"/>
        <w:rPr>
          <w:rFonts w:ascii="Times New Roman" w:hAnsi="Times New Roman" w:cs="Times New Roman"/>
          <w:kern w:val="0"/>
          <w:sz w:val="24"/>
          <w:szCs w:val="24"/>
        </w:rPr>
      </w:pPr>
      <w:r>
        <w:rPr>
          <w:rFonts w:ascii="Times New Roman" w:hAnsi="Times New Roman" w:cs="Times New Roman" w:hint="eastAsia"/>
          <w:kern w:val="0"/>
          <w:sz w:val="24"/>
          <w:szCs w:val="24"/>
        </w:rPr>
        <w:t>The list of other related parties:</w:t>
      </w:r>
    </w:p>
    <w:tbl>
      <w:tblPr>
        <w:tblW w:w="9473" w:type="dxa"/>
        <w:jc w:val="center"/>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4944"/>
        <w:gridCol w:w="2052"/>
        <w:gridCol w:w="2477"/>
      </w:tblGrid>
      <w:tr w:rsidR="000B609E">
        <w:trPr>
          <w:trHeight w:val="300"/>
          <w:tblHeader/>
          <w:jc w:val="center"/>
        </w:trPr>
        <w:tc>
          <w:tcPr>
            <w:tcW w:w="4944" w:type="dxa"/>
            <w:shd w:val="clear" w:color="auto" w:fill="auto"/>
            <w:vAlign w:val="center"/>
          </w:tcPr>
          <w:p w:rsidR="000B609E" w:rsidRDefault="00B220E1">
            <w:pPr>
              <w:spacing w:afterLines="0" w:after="0"/>
              <w:ind w:firstLine="361"/>
              <w:jc w:val="center"/>
              <w:rPr>
                <w:rFonts w:ascii="宋体" w:hAnsi="宋体" w:cs="宋体"/>
                <w:b/>
                <w:color w:val="000000"/>
              </w:rPr>
            </w:pPr>
            <w:r>
              <w:rPr>
                <w:rFonts w:ascii="Times New Roman" w:eastAsia="宋体" w:hAnsi="Times New Roman" w:cs="Times New Roman"/>
                <w:b/>
                <w:color w:val="000000"/>
                <w:kern w:val="0"/>
                <w:sz w:val="18"/>
                <w:szCs w:val="18"/>
              </w:rPr>
              <w:lastRenderedPageBreak/>
              <w:t>Name of the company</w:t>
            </w:r>
          </w:p>
        </w:tc>
        <w:tc>
          <w:tcPr>
            <w:tcW w:w="2052" w:type="dxa"/>
            <w:shd w:val="clear" w:color="auto" w:fill="auto"/>
            <w:vAlign w:val="center"/>
          </w:tcPr>
          <w:p w:rsidR="000B609E" w:rsidRDefault="00B220E1">
            <w:pPr>
              <w:spacing w:afterLines="0" w:after="0"/>
              <w:ind w:firstLine="361"/>
              <w:jc w:val="center"/>
              <w:rPr>
                <w:rFonts w:ascii="宋体" w:hAnsi="宋体" w:cs="宋体"/>
                <w:b/>
                <w:color w:val="000000"/>
              </w:rPr>
            </w:pPr>
            <w:r>
              <w:rPr>
                <w:rFonts w:ascii="Times New Roman" w:eastAsia="宋体" w:hAnsi="Times New Roman" w:cs="Times New Roman"/>
                <w:b/>
                <w:color w:val="000000"/>
                <w:kern w:val="0"/>
                <w:sz w:val="18"/>
                <w:szCs w:val="18"/>
              </w:rPr>
              <w:t>Relationship</w:t>
            </w:r>
          </w:p>
        </w:tc>
        <w:tc>
          <w:tcPr>
            <w:tcW w:w="2477" w:type="dxa"/>
            <w:shd w:val="clear" w:color="auto" w:fill="auto"/>
            <w:vAlign w:val="center"/>
          </w:tcPr>
          <w:p w:rsidR="000B609E" w:rsidRDefault="00B220E1">
            <w:pPr>
              <w:spacing w:afterLines="0" w:after="0"/>
              <w:ind w:firstLine="361"/>
              <w:jc w:val="center"/>
              <w:rPr>
                <w:rFonts w:ascii="宋体" w:hAnsi="宋体" w:cs="宋体"/>
                <w:b/>
                <w:color w:val="000000"/>
              </w:rPr>
            </w:pPr>
            <w:r>
              <w:rPr>
                <w:rFonts w:ascii="Times New Roman" w:eastAsia="宋体" w:hAnsi="Times New Roman" w:cs="Times New Roman"/>
                <w:b/>
                <w:color w:val="000000"/>
                <w:kern w:val="0"/>
                <w:sz w:val="18"/>
                <w:szCs w:val="18"/>
              </w:rPr>
              <w:t>Organization Code</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Jiangsu Jiangyin Rural Commercial Bank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91320000732252764N</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Taizhou </w:t>
            </w:r>
            <w:proofErr w:type="spellStart"/>
            <w:r>
              <w:rPr>
                <w:rFonts w:ascii="Times New Roman" w:eastAsia="宋体" w:hAnsi="Times New Roman" w:cs="Times New Roman"/>
                <w:kern w:val="0"/>
                <w:sz w:val="18"/>
                <w:szCs w:val="18"/>
              </w:rPr>
              <w:t>Wanxin</w:t>
            </w:r>
            <w:proofErr w:type="spellEnd"/>
            <w:r>
              <w:rPr>
                <w:rFonts w:ascii="Times New Roman" w:eastAsia="宋体" w:hAnsi="Times New Roman" w:cs="Times New Roman"/>
                <w:kern w:val="0"/>
                <w:sz w:val="18"/>
                <w:szCs w:val="18"/>
              </w:rPr>
              <w:t xml:space="preserve"> Tungsten Molybdenum Products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913212047337407947</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Taizhou </w:t>
            </w:r>
            <w:proofErr w:type="spellStart"/>
            <w:r>
              <w:rPr>
                <w:rFonts w:ascii="Times New Roman" w:eastAsia="宋体" w:hAnsi="Times New Roman" w:cs="Times New Roman"/>
                <w:kern w:val="0"/>
                <w:sz w:val="18"/>
                <w:szCs w:val="18"/>
              </w:rPr>
              <w:t>Taida</w:t>
            </w:r>
            <w:proofErr w:type="spellEnd"/>
            <w:r>
              <w:rPr>
                <w:rFonts w:ascii="Times New Roman" w:eastAsia="宋体" w:hAnsi="Times New Roman" w:cs="Times New Roman"/>
                <w:kern w:val="0"/>
                <w:sz w:val="18"/>
                <w:szCs w:val="18"/>
              </w:rPr>
              <w:t xml:space="preserve"> Investment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9132120458842660XC</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Taizhou Jindong Appliance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91321204MA1M944Q7P</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Taizhou </w:t>
            </w:r>
            <w:proofErr w:type="spellStart"/>
            <w:r>
              <w:rPr>
                <w:rFonts w:ascii="Times New Roman" w:eastAsia="宋体" w:hAnsi="Times New Roman" w:cs="Times New Roman"/>
                <w:kern w:val="0"/>
                <w:sz w:val="18"/>
                <w:szCs w:val="18"/>
              </w:rPr>
              <w:t>Jiangyan</w:t>
            </w:r>
            <w:proofErr w:type="spellEnd"/>
            <w:r>
              <w:rPr>
                <w:rFonts w:ascii="Times New Roman" w:eastAsia="宋体" w:hAnsi="Times New Roman" w:cs="Times New Roman"/>
                <w:kern w:val="0"/>
                <w:sz w:val="18"/>
                <w:szCs w:val="18"/>
              </w:rPr>
              <w:t xml:space="preserve"> State-owned Assets Investment Group Co., Ltd. </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91321204718515388E</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Taizhou </w:t>
            </w:r>
            <w:proofErr w:type="spellStart"/>
            <w:r>
              <w:rPr>
                <w:rFonts w:ascii="Times New Roman" w:eastAsia="宋体" w:hAnsi="Times New Roman" w:cs="Times New Roman"/>
                <w:kern w:val="0"/>
                <w:sz w:val="18"/>
                <w:szCs w:val="18"/>
              </w:rPr>
              <w:t>Jiaxin</w:t>
            </w:r>
            <w:proofErr w:type="spellEnd"/>
            <w:r>
              <w:rPr>
                <w:rFonts w:ascii="Times New Roman" w:eastAsia="宋体" w:hAnsi="Times New Roman" w:cs="Times New Roman"/>
                <w:kern w:val="0"/>
                <w:sz w:val="18"/>
                <w:szCs w:val="18"/>
              </w:rPr>
              <w:t xml:space="preserve"> Architectural Decoration Engineering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913212006627147580</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Taizhou </w:t>
            </w:r>
            <w:proofErr w:type="spellStart"/>
            <w:r>
              <w:rPr>
                <w:rFonts w:ascii="Times New Roman" w:eastAsia="宋体" w:hAnsi="Times New Roman" w:cs="Times New Roman"/>
                <w:kern w:val="0"/>
                <w:sz w:val="18"/>
                <w:szCs w:val="18"/>
              </w:rPr>
              <w:t>Boshi</w:t>
            </w:r>
            <w:proofErr w:type="spellEnd"/>
            <w:r>
              <w:rPr>
                <w:rFonts w:ascii="Times New Roman" w:eastAsia="宋体" w:hAnsi="Times New Roman" w:cs="Times New Roman"/>
                <w:kern w:val="0"/>
                <w:sz w:val="18"/>
                <w:szCs w:val="18"/>
              </w:rPr>
              <w:t xml:space="preserve"> Logistics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913212027185509099</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Taizhou </w:t>
            </w:r>
            <w:proofErr w:type="spellStart"/>
            <w:r>
              <w:rPr>
                <w:rFonts w:ascii="Times New Roman" w:eastAsia="宋体" w:hAnsi="Times New Roman" w:cs="Times New Roman"/>
                <w:kern w:val="0"/>
                <w:sz w:val="18"/>
                <w:szCs w:val="18"/>
              </w:rPr>
              <w:t>Dongfang</w:t>
            </w:r>
            <w:proofErr w:type="spellEnd"/>
            <w:r>
              <w:rPr>
                <w:rFonts w:ascii="Times New Roman" w:eastAsia="宋体" w:hAnsi="Times New Roman" w:cs="Times New Roman"/>
                <w:kern w:val="0"/>
                <w:sz w:val="18"/>
                <w:szCs w:val="18"/>
              </w:rPr>
              <w:t xml:space="preserve"> Special Chemical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913212041413640350</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Taizhou Textile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91321291081598998Q</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kern w:val="0"/>
                <w:sz w:val="18"/>
                <w:szCs w:val="18"/>
              </w:rPr>
              <w:t>Jinchen</w:t>
            </w:r>
            <w:proofErr w:type="spellEnd"/>
            <w:r>
              <w:rPr>
                <w:rFonts w:ascii="Times New Roman" w:eastAsia="宋体" w:hAnsi="Times New Roman" w:cs="Times New Roman"/>
                <w:kern w:val="0"/>
                <w:sz w:val="18"/>
                <w:szCs w:val="18"/>
              </w:rPr>
              <w:t xml:space="preserve"> Trading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913212006663552386</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Jinchen</w:t>
            </w:r>
            <w:proofErr w:type="spellEnd"/>
            <w:r>
              <w:rPr>
                <w:rFonts w:ascii="Times New Roman" w:eastAsia="宋体" w:hAnsi="Times New Roman" w:cs="Times New Roman"/>
                <w:kern w:val="0"/>
                <w:sz w:val="18"/>
                <w:szCs w:val="18"/>
              </w:rPr>
              <w:t xml:space="preserve"> Group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91321204141312307Y</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Zhengxing</w:t>
            </w:r>
            <w:proofErr w:type="spellEnd"/>
            <w:r>
              <w:rPr>
                <w:rFonts w:ascii="Times New Roman" w:eastAsia="宋体" w:hAnsi="Times New Roman" w:cs="Times New Roman"/>
                <w:kern w:val="0"/>
                <w:sz w:val="18"/>
                <w:szCs w:val="18"/>
              </w:rPr>
              <w:t xml:space="preserve"> Construction &amp; Engineering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913212047040091189</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Zhengfei</w:t>
            </w:r>
            <w:proofErr w:type="spellEnd"/>
            <w:r>
              <w:rPr>
                <w:rFonts w:ascii="Times New Roman" w:eastAsia="宋体" w:hAnsi="Times New Roman" w:cs="Times New Roman"/>
                <w:kern w:val="0"/>
                <w:sz w:val="18"/>
                <w:szCs w:val="18"/>
              </w:rPr>
              <w:t xml:space="preserve"> Construction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913212027241606407</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Zhengda</w:t>
            </w:r>
            <w:proofErr w:type="spellEnd"/>
            <w:r>
              <w:rPr>
                <w:rFonts w:ascii="Times New Roman" w:eastAsia="宋体" w:hAnsi="Times New Roman" w:cs="Times New Roman"/>
                <w:kern w:val="0"/>
                <w:sz w:val="18"/>
                <w:szCs w:val="18"/>
              </w:rPr>
              <w:t xml:space="preserve"> Textile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913212047843962767</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Yaguang</w:t>
            </w:r>
            <w:proofErr w:type="spellEnd"/>
            <w:r>
              <w:rPr>
                <w:rFonts w:ascii="Times New Roman" w:eastAsia="宋体" w:hAnsi="Times New Roman" w:cs="Times New Roman"/>
                <w:kern w:val="0"/>
                <w:sz w:val="18"/>
                <w:szCs w:val="18"/>
              </w:rPr>
              <w:t xml:space="preserve"> Metal Products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91321204141319349U</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Xincheng</w:t>
            </w:r>
            <w:proofErr w:type="spellEnd"/>
            <w:r>
              <w:rPr>
                <w:rFonts w:ascii="Times New Roman" w:eastAsia="宋体" w:hAnsi="Times New Roman" w:cs="Times New Roman"/>
                <w:kern w:val="0"/>
                <w:sz w:val="18"/>
                <w:szCs w:val="18"/>
              </w:rPr>
              <w:t xml:space="preserve"> Electronics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91321204253075932T</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proofErr w:type="gramStart"/>
            <w:r>
              <w:rPr>
                <w:rFonts w:ascii="Times New Roman" w:eastAsia="宋体" w:hAnsi="Times New Roman" w:cs="Times New Roman"/>
                <w:kern w:val="0"/>
                <w:sz w:val="18"/>
                <w:szCs w:val="18"/>
              </w:rPr>
              <w:t>Taida</w:t>
            </w:r>
            <w:proofErr w:type="spellEnd"/>
            <w:r>
              <w:rPr>
                <w:rFonts w:ascii="Times New Roman" w:eastAsia="宋体" w:hAnsi="Times New Roman" w:cs="Times New Roman"/>
                <w:kern w:val="0"/>
                <w:sz w:val="18"/>
                <w:szCs w:val="18"/>
              </w:rPr>
              <w:t xml:space="preserve">  Holding</w:t>
            </w:r>
            <w:proofErr w:type="gramEnd"/>
            <w:r>
              <w:rPr>
                <w:rFonts w:ascii="Times New Roman" w:eastAsia="宋体" w:hAnsi="Times New Roman" w:cs="Times New Roman"/>
                <w:kern w:val="0"/>
                <w:sz w:val="18"/>
                <w:szCs w:val="18"/>
              </w:rPr>
              <w:t xml:space="preserve"> Group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913212045703648850</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Shuangdeng</w:t>
            </w:r>
            <w:proofErr w:type="spellEnd"/>
            <w:r>
              <w:rPr>
                <w:rFonts w:ascii="Times New Roman" w:eastAsia="宋体" w:hAnsi="Times New Roman" w:cs="Times New Roman"/>
                <w:kern w:val="0"/>
                <w:sz w:val="18"/>
                <w:szCs w:val="18"/>
              </w:rPr>
              <w:t xml:space="preserve"> </w:t>
            </w:r>
            <w:proofErr w:type="spellStart"/>
            <w:r>
              <w:rPr>
                <w:rFonts w:ascii="Times New Roman" w:eastAsia="宋体" w:hAnsi="Times New Roman" w:cs="Times New Roman"/>
                <w:kern w:val="0"/>
                <w:sz w:val="18"/>
                <w:szCs w:val="18"/>
              </w:rPr>
              <w:t>Fulangte</w:t>
            </w:r>
            <w:proofErr w:type="spellEnd"/>
            <w:r>
              <w:rPr>
                <w:rFonts w:ascii="Times New Roman" w:eastAsia="宋体" w:hAnsi="Times New Roman" w:cs="Times New Roman"/>
                <w:kern w:val="0"/>
                <w:sz w:val="18"/>
                <w:szCs w:val="18"/>
              </w:rPr>
              <w:t xml:space="preserve"> New Technology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91321200794577951J</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Shuangdeng</w:t>
            </w:r>
            <w:proofErr w:type="spellEnd"/>
            <w:r>
              <w:rPr>
                <w:rFonts w:ascii="Times New Roman" w:eastAsia="宋体" w:hAnsi="Times New Roman" w:cs="Times New Roman"/>
                <w:kern w:val="0"/>
                <w:sz w:val="18"/>
                <w:szCs w:val="18"/>
              </w:rPr>
              <w:t xml:space="preserve"> Power Technology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91321204141336368L</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Zhoudongyang</w:t>
            </w:r>
            <w:proofErr w:type="spellEnd"/>
            <w:r>
              <w:rPr>
                <w:rFonts w:ascii="Times New Roman" w:eastAsia="宋体" w:hAnsi="Times New Roman" w:cs="Times New Roman"/>
                <w:kern w:val="0"/>
                <w:sz w:val="18"/>
                <w:szCs w:val="18"/>
              </w:rPr>
              <w:t xml:space="preserve"> Agricultural Products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91321204733741332B</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Richu</w:t>
            </w:r>
            <w:proofErr w:type="spellEnd"/>
            <w:r>
              <w:rPr>
                <w:rFonts w:ascii="Times New Roman" w:eastAsia="宋体" w:hAnsi="Times New Roman" w:cs="Times New Roman"/>
                <w:kern w:val="0"/>
                <w:sz w:val="18"/>
                <w:szCs w:val="18"/>
              </w:rPr>
              <w:t xml:space="preserve"> Chemical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91321204141316033H</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Minxing</w:t>
            </w:r>
            <w:proofErr w:type="spellEnd"/>
            <w:r>
              <w:rPr>
                <w:rFonts w:ascii="Times New Roman" w:eastAsia="宋体" w:hAnsi="Times New Roman" w:cs="Times New Roman"/>
                <w:kern w:val="0"/>
                <w:sz w:val="18"/>
                <w:szCs w:val="18"/>
              </w:rPr>
              <w:t xml:space="preserve"> Construction Materials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91321204791995197E</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Jiangsu Green Forest Landscape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913212005855342260</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Jingdian</w:t>
            </w:r>
            <w:proofErr w:type="spellEnd"/>
            <w:r>
              <w:rPr>
                <w:rFonts w:ascii="Times New Roman" w:eastAsia="宋体" w:hAnsi="Times New Roman" w:cs="Times New Roman"/>
                <w:kern w:val="0"/>
                <w:sz w:val="18"/>
                <w:szCs w:val="18"/>
              </w:rPr>
              <w:t xml:space="preserve"> Trading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91321204573804401M</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Huada</w:t>
            </w:r>
            <w:proofErr w:type="spellEnd"/>
            <w:r>
              <w:rPr>
                <w:rFonts w:ascii="Times New Roman" w:eastAsia="宋体" w:hAnsi="Times New Roman" w:cs="Times New Roman"/>
                <w:kern w:val="0"/>
                <w:sz w:val="18"/>
                <w:szCs w:val="18"/>
              </w:rPr>
              <w:t xml:space="preserve"> Textile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91321204743746890X</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Haifu</w:t>
            </w:r>
            <w:proofErr w:type="spellEnd"/>
            <w:r>
              <w:rPr>
                <w:rFonts w:ascii="Times New Roman" w:eastAsia="宋体" w:hAnsi="Times New Roman" w:cs="Times New Roman"/>
                <w:kern w:val="0"/>
                <w:sz w:val="18"/>
                <w:szCs w:val="18"/>
              </w:rPr>
              <w:t xml:space="preserve"> Investment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91321204794577468N</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Fuda</w:t>
            </w:r>
            <w:proofErr w:type="spellEnd"/>
            <w:r>
              <w:rPr>
                <w:rFonts w:ascii="Times New Roman" w:eastAsia="宋体" w:hAnsi="Times New Roman" w:cs="Times New Roman"/>
                <w:kern w:val="0"/>
                <w:sz w:val="18"/>
                <w:szCs w:val="18"/>
              </w:rPr>
              <w:t xml:space="preserve"> Electronics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91321204140792257G</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Jiangsu </w:t>
            </w:r>
            <w:proofErr w:type="spellStart"/>
            <w:r>
              <w:rPr>
                <w:rFonts w:ascii="Times New Roman" w:eastAsia="宋体" w:hAnsi="Times New Roman" w:cs="Times New Roman"/>
                <w:kern w:val="0"/>
                <w:sz w:val="18"/>
                <w:szCs w:val="18"/>
              </w:rPr>
              <w:t>Fengda</w:t>
            </w:r>
            <w:proofErr w:type="spellEnd"/>
            <w:r>
              <w:rPr>
                <w:rFonts w:ascii="Times New Roman" w:eastAsia="宋体" w:hAnsi="Times New Roman" w:cs="Times New Roman"/>
                <w:kern w:val="0"/>
                <w:sz w:val="18"/>
                <w:szCs w:val="18"/>
              </w:rPr>
              <w:t xml:space="preserve"> Import and Export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913212047579895195</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lastRenderedPageBreak/>
              <w:t xml:space="preserve">Jiangsu </w:t>
            </w:r>
            <w:proofErr w:type="spellStart"/>
            <w:r>
              <w:rPr>
                <w:rFonts w:ascii="Times New Roman" w:eastAsia="宋体" w:hAnsi="Times New Roman" w:cs="Times New Roman"/>
                <w:kern w:val="0"/>
                <w:sz w:val="18"/>
                <w:szCs w:val="18"/>
              </w:rPr>
              <w:t>Fengda</w:t>
            </w:r>
            <w:proofErr w:type="spellEnd"/>
            <w:r>
              <w:rPr>
                <w:rFonts w:ascii="Times New Roman" w:eastAsia="宋体" w:hAnsi="Times New Roman" w:cs="Times New Roman"/>
                <w:kern w:val="0"/>
                <w:sz w:val="18"/>
                <w:szCs w:val="18"/>
              </w:rPr>
              <w:t xml:space="preserve"> Textile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91321204743134667F</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kern w:val="0"/>
                <w:sz w:val="18"/>
                <w:szCs w:val="18"/>
              </w:rPr>
              <w:t>Dajun</w:t>
            </w:r>
            <w:proofErr w:type="spellEnd"/>
            <w:r>
              <w:rPr>
                <w:rFonts w:ascii="Times New Roman" w:eastAsia="宋体" w:hAnsi="Times New Roman" w:cs="Times New Roman"/>
                <w:kern w:val="0"/>
                <w:sz w:val="18"/>
                <w:szCs w:val="18"/>
              </w:rPr>
              <w:t xml:space="preserve"> Group Co., Ltd</w:t>
            </w:r>
          </w:p>
        </w:tc>
        <w:tc>
          <w:tcPr>
            <w:tcW w:w="205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360"/>
              <w:jc w:val="both"/>
              <w:textAlignment w:val="center"/>
              <w:rPr>
                <w:rFonts w:ascii="Arial Narrow" w:hAnsi="Arial Narrow" w:cs="Arial Narrow"/>
                <w:sz w:val="18"/>
                <w:szCs w:val="18"/>
              </w:rPr>
            </w:pPr>
            <w:r>
              <w:rPr>
                <w:rFonts w:ascii="Arial Narrow" w:eastAsia="宋体" w:hAnsi="Arial Narrow" w:cs="Arial Narrow" w:hint="eastAsia"/>
                <w:snapToGrid w:val="0"/>
                <w:kern w:val="0"/>
                <w:sz w:val="18"/>
                <w:szCs w:val="18"/>
              </w:rPr>
              <w:t>91321204608812250H</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Gongyang</w:t>
            </w:r>
            <w:proofErr w:type="spellEnd"/>
            <w:r>
              <w:rPr>
                <w:rFonts w:ascii="Times New Roman" w:eastAsia="宋体" w:hAnsi="Times New Roman" w:cs="Times New Roman" w:hint="eastAsia"/>
                <w:kern w:val="0"/>
                <w:sz w:val="18"/>
                <w:szCs w:val="18"/>
              </w:rPr>
              <w:t xml:space="preserve"> Stock CO., Ltd.</w:t>
            </w:r>
          </w:p>
        </w:tc>
        <w:tc>
          <w:tcPr>
            <w:tcW w:w="2052" w:type="dxa"/>
            <w:vAlign w:val="center"/>
          </w:tcPr>
          <w:p w:rsidR="000B609E" w:rsidRDefault="00B220E1">
            <w:pPr>
              <w:spacing w:afterLines="0" w:after="0"/>
              <w:ind w:firstLineChars="0" w:firstLine="0"/>
              <w:jc w:val="both"/>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91321200141944574K</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Jiangyan</w:t>
            </w:r>
            <w:proofErr w:type="spellEnd"/>
            <w:r>
              <w:rPr>
                <w:rFonts w:ascii="Times New Roman" w:eastAsia="宋体" w:hAnsi="Times New Roman" w:cs="Times New Roman" w:hint="eastAsia"/>
                <w:kern w:val="0"/>
                <w:sz w:val="18"/>
                <w:szCs w:val="18"/>
              </w:rPr>
              <w:t xml:space="preserve"> </w:t>
            </w:r>
            <w:proofErr w:type="spellStart"/>
            <w:r>
              <w:rPr>
                <w:rFonts w:ascii="Times New Roman" w:eastAsia="宋体" w:hAnsi="Times New Roman" w:cs="Times New Roman" w:hint="eastAsia"/>
                <w:kern w:val="0"/>
                <w:sz w:val="18"/>
                <w:szCs w:val="18"/>
              </w:rPr>
              <w:t>Jinchen</w:t>
            </w:r>
            <w:proofErr w:type="spellEnd"/>
            <w:r>
              <w:rPr>
                <w:rFonts w:ascii="Times New Roman" w:eastAsia="宋体" w:hAnsi="Times New Roman" w:cs="Times New Roman" w:hint="eastAsia"/>
                <w:kern w:val="0"/>
                <w:sz w:val="18"/>
                <w:szCs w:val="18"/>
              </w:rPr>
              <w:t xml:space="preserve"> Door and Window Co., Ltd.</w:t>
            </w:r>
          </w:p>
        </w:tc>
        <w:tc>
          <w:tcPr>
            <w:tcW w:w="2052" w:type="dxa"/>
            <w:vAlign w:val="center"/>
          </w:tcPr>
          <w:p w:rsidR="000B609E" w:rsidRDefault="00B220E1">
            <w:pPr>
              <w:spacing w:afterLines="0" w:after="0"/>
              <w:ind w:firstLineChars="0" w:firstLine="0"/>
              <w:jc w:val="both"/>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913212047520099728</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Taida</w:t>
            </w:r>
            <w:proofErr w:type="spellEnd"/>
            <w:r>
              <w:rPr>
                <w:rFonts w:ascii="Times New Roman" w:eastAsia="宋体" w:hAnsi="Times New Roman" w:cs="Times New Roman" w:hint="eastAsia"/>
                <w:kern w:val="0"/>
                <w:sz w:val="18"/>
                <w:szCs w:val="18"/>
              </w:rPr>
              <w:t xml:space="preserve"> Textile Co., Ltd.</w:t>
            </w:r>
          </w:p>
        </w:tc>
        <w:tc>
          <w:tcPr>
            <w:tcW w:w="2052" w:type="dxa"/>
            <w:vAlign w:val="center"/>
          </w:tcPr>
          <w:p w:rsidR="000B609E" w:rsidRDefault="00B220E1">
            <w:pPr>
              <w:spacing w:afterLines="0" w:after="0"/>
              <w:ind w:firstLineChars="0" w:firstLine="0"/>
              <w:jc w:val="both"/>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91321204704008350Q</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Jiangyin City </w:t>
            </w:r>
            <w:proofErr w:type="spellStart"/>
            <w:r>
              <w:rPr>
                <w:rFonts w:ascii="Times New Roman" w:eastAsia="宋体" w:hAnsi="Times New Roman" w:cs="Times New Roman" w:hint="eastAsia"/>
                <w:kern w:val="0"/>
                <w:sz w:val="18"/>
                <w:szCs w:val="18"/>
              </w:rPr>
              <w:t>Changjiang</w:t>
            </w:r>
            <w:proofErr w:type="spellEnd"/>
            <w:r>
              <w:rPr>
                <w:rFonts w:ascii="Times New Roman" w:eastAsia="宋体" w:hAnsi="Times New Roman" w:cs="Times New Roman" w:hint="eastAsia"/>
                <w:kern w:val="0"/>
                <w:sz w:val="18"/>
                <w:szCs w:val="18"/>
              </w:rPr>
              <w:t xml:space="preserve"> Steel Pipe Co., Ltd.</w:t>
            </w:r>
          </w:p>
        </w:tc>
        <w:tc>
          <w:tcPr>
            <w:tcW w:w="2052" w:type="dxa"/>
            <w:vAlign w:val="center"/>
          </w:tcPr>
          <w:p w:rsidR="000B609E" w:rsidRDefault="00B220E1">
            <w:pPr>
              <w:spacing w:afterLines="0" w:after="0"/>
              <w:ind w:firstLineChars="0" w:firstLine="0"/>
              <w:jc w:val="both"/>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91320281250417490A</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Suzhou Trust Co., Ltd.</w:t>
            </w:r>
          </w:p>
        </w:tc>
        <w:tc>
          <w:tcPr>
            <w:tcW w:w="2052" w:type="dxa"/>
            <w:vAlign w:val="center"/>
          </w:tcPr>
          <w:p w:rsidR="000B609E" w:rsidRDefault="00B220E1">
            <w:pPr>
              <w:spacing w:afterLines="0" w:after="0"/>
              <w:ind w:firstLineChars="0" w:firstLine="0"/>
              <w:jc w:val="both"/>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91320594137705730W</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Huali</w:t>
            </w:r>
            <w:proofErr w:type="spellEnd"/>
            <w:r>
              <w:rPr>
                <w:rFonts w:ascii="Times New Roman" w:eastAsia="宋体" w:hAnsi="Times New Roman" w:cs="Times New Roman" w:hint="eastAsia"/>
                <w:kern w:val="0"/>
                <w:sz w:val="18"/>
                <w:szCs w:val="18"/>
              </w:rPr>
              <w:t xml:space="preserve"> Plastic Co., Ltd</w:t>
            </w:r>
          </w:p>
        </w:tc>
        <w:tc>
          <w:tcPr>
            <w:tcW w:w="2052" w:type="dxa"/>
            <w:vAlign w:val="center"/>
          </w:tcPr>
          <w:p w:rsidR="000B609E" w:rsidRDefault="00B220E1">
            <w:pPr>
              <w:spacing w:afterLines="0" w:after="0"/>
              <w:ind w:firstLineChars="0" w:firstLine="0"/>
              <w:jc w:val="both"/>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9132120414194657X9</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Pengxin</w:t>
            </w:r>
            <w:proofErr w:type="spellEnd"/>
            <w:r>
              <w:rPr>
                <w:rFonts w:ascii="Times New Roman" w:eastAsia="宋体" w:hAnsi="Times New Roman" w:cs="Times New Roman" w:hint="eastAsia"/>
                <w:kern w:val="0"/>
                <w:sz w:val="18"/>
                <w:szCs w:val="18"/>
              </w:rPr>
              <w:t xml:space="preserve"> Real Estate Management Co., Ltd.</w:t>
            </w:r>
          </w:p>
        </w:tc>
        <w:tc>
          <w:tcPr>
            <w:tcW w:w="2052" w:type="dxa"/>
            <w:vAlign w:val="center"/>
          </w:tcPr>
          <w:p w:rsidR="000B609E" w:rsidRDefault="00B220E1">
            <w:pPr>
              <w:spacing w:afterLines="0" w:after="0"/>
              <w:ind w:firstLineChars="0" w:firstLine="0"/>
              <w:jc w:val="both"/>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91321202746211402H</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Pengxin</w:t>
            </w:r>
            <w:proofErr w:type="spellEnd"/>
            <w:r>
              <w:rPr>
                <w:rFonts w:ascii="Times New Roman" w:eastAsia="宋体" w:hAnsi="Times New Roman" w:cs="Times New Roman" w:hint="eastAsia"/>
                <w:kern w:val="0"/>
                <w:sz w:val="18"/>
                <w:szCs w:val="18"/>
              </w:rPr>
              <w:t xml:space="preserve"> Real Estate Development Co., Ltd. </w:t>
            </w:r>
          </w:p>
        </w:tc>
        <w:tc>
          <w:tcPr>
            <w:tcW w:w="2052" w:type="dxa"/>
            <w:vAlign w:val="center"/>
          </w:tcPr>
          <w:p w:rsidR="000B609E" w:rsidRDefault="00B220E1">
            <w:pPr>
              <w:spacing w:afterLines="0" w:after="0"/>
              <w:ind w:firstLineChars="0" w:firstLine="0"/>
              <w:jc w:val="both"/>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91321200550294939K</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Taizhou Weihai Materials Trade Co., Ltd.</w:t>
            </w:r>
          </w:p>
        </w:tc>
        <w:tc>
          <w:tcPr>
            <w:tcW w:w="2052" w:type="dxa"/>
            <w:vAlign w:val="center"/>
          </w:tcPr>
          <w:p w:rsidR="000B609E" w:rsidRDefault="00B220E1">
            <w:pPr>
              <w:spacing w:afterLines="0" w:after="0"/>
              <w:ind w:firstLineChars="0" w:firstLine="0"/>
              <w:jc w:val="both"/>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913212047539316432</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Yushu</w:t>
            </w:r>
            <w:proofErr w:type="spellEnd"/>
            <w:r>
              <w:rPr>
                <w:rFonts w:ascii="Times New Roman" w:eastAsia="宋体" w:hAnsi="Times New Roman" w:cs="Times New Roman" w:hint="eastAsia"/>
                <w:kern w:val="0"/>
                <w:sz w:val="18"/>
                <w:szCs w:val="18"/>
              </w:rPr>
              <w:t xml:space="preserve"> Real Estate Management Co., Ltd.</w:t>
            </w:r>
          </w:p>
        </w:tc>
        <w:tc>
          <w:tcPr>
            <w:tcW w:w="2052" w:type="dxa"/>
            <w:vAlign w:val="center"/>
          </w:tcPr>
          <w:p w:rsidR="000B609E" w:rsidRDefault="00B220E1">
            <w:pPr>
              <w:spacing w:afterLines="0" w:after="0"/>
              <w:ind w:firstLineChars="0" w:firstLine="0"/>
              <w:jc w:val="both"/>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913212047933454548</w:t>
            </w:r>
          </w:p>
        </w:tc>
      </w:tr>
      <w:tr w:rsidR="000B609E">
        <w:trPr>
          <w:trHeight w:hRule="exact" w:val="454"/>
          <w:jc w:val="center"/>
        </w:trPr>
        <w:tc>
          <w:tcPr>
            <w:tcW w:w="49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Zhongtian</w:t>
            </w:r>
            <w:proofErr w:type="spellEnd"/>
            <w:r>
              <w:rPr>
                <w:rFonts w:ascii="Times New Roman" w:eastAsia="宋体" w:hAnsi="Times New Roman" w:cs="Times New Roman" w:hint="eastAsia"/>
                <w:kern w:val="0"/>
                <w:sz w:val="18"/>
                <w:szCs w:val="18"/>
              </w:rPr>
              <w:t xml:space="preserve"> Real Estate Development Co., Ltd.</w:t>
            </w:r>
          </w:p>
        </w:tc>
        <w:tc>
          <w:tcPr>
            <w:tcW w:w="2052" w:type="dxa"/>
            <w:vAlign w:val="center"/>
          </w:tcPr>
          <w:p w:rsidR="000B609E" w:rsidRDefault="00B220E1">
            <w:pPr>
              <w:spacing w:afterLines="0" w:after="0"/>
              <w:ind w:firstLineChars="0" w:firstLine="0"/>
              <w:jc w:val="both"/>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other related parties</w:t>
            </w:r>
          </w:p>
        </w:tc>
        <w:tc>
          <w:tcPr>
            <w:tcW w:w="2477" w:type="dxa"/>
            <w:vAlign w:val="center"/>
          </w:tcPr>
          <w:p w:rsidR="000B609E" w:rsidRDefault="00B220E1">
            <w:pPr>
              <w:spacing w:afterLines="0" w:after="0"/>
              <w:ind w:firstLineChars="0" w:firstLine="0"/>
              <w:jc w:val="center"/>
              <w:rPr>
                <w:rFonts w:ascii="Arial Narrow" w:eastAsia="宋体" w:hAnsi="Arial Narrow" w:cs="Arial Narrow"/>
                <w:snapToGrid w:val="0"/>
                <w:kern w:val="0"/>
                <w:sz w:val="18"/>
                <w:szCs w:val="18"/>
              </w:rPr>
            </w:pPr>
            <w:r>
              <w:rPr>
                <w:rFonts w:ascii="Arial Narrow" w:eastAsia="宋体" w:hAnsi="Arial Narrow" w:cs="Arial Narrow" w:hint="eastAsia"/>
                <w:snapToGrid w:val="0"/>
                <w:kern w:val="0"/>
                <w:sz w:val="18"/>
                <w:szCs w:val="18"/>
              </w:rPr>
              <w:t>91321204697877848A</w:t>
            </w:r>
          </w:p>
        </w:tc>
      </w:tr>
    </w:tbl>
    <w:p w:rsidR="000B609E" w:rsidRPr="004B24DA" w:rsidRDefault="00B220E1">
      <w:pPr>
        <w:pStyle w:val="11"/>
        <w:numPr>
          <w:ilvl w:val="0"/>
          <w:numId w:val="38"/>
        </w:numPr>
        <w:spacing w:beforeLines="50" w:before="156" w:after="156" w:line="360" w:lineRule="auto"/>
        <w:ind w:left="0" w:firstLine="482"/>
        <w:rPr>
          <w:rFonts w:ascii="Times New Roman" w:hAnsi="Times New Roman" w:cs="Times New Roman"/>
          <w:b/>
          <w:bCs/>
          <w:sz w:val="24"/>
          <w:szCs w:val="24"/>
        </w:rPr>
      </w:pPr>
      <w:r w:rsidRPr="004B24DA">
        <w:rPr>
          <w:rFonts w:ascii="Times New Roman" w:hAnsi="Times New Roman" w:cs="Times New Roman" w:hint="eastAsia"/>
          <w:b/>
          <w:bCs/>
          <w:sz w:val="24"/>
          <w:szCs w:val="24"/>
        </w:rPr>
        <w:t>Related-</w:t>
      </w:r>
      <w:proofErr w:type="gramStart"/>
      <w:r w:rsidRPr="004B24DA">
        <w:rPr>
          <w:rFonts w:ascii="Times New Roman" w:hAnsi="Times New Roman" w:cs="Times New Roman" w:hint="eastAsia"/>
          <w:b/>
          <w:bCs/>
          <w:sz w:val="24"/>
          <w:szCs w:val="24"/>
        </w:rPr>
        <w:t>parties</w:t>
      </w:r>
      <w:proofErr w:type="gramEnd"/>
      <w:r w:rsidRPr="004B24DA">
        <w:rPr>
          <w:rFonts w:ascii="Times New Roman" w:hAnsi="Times New Roman" w:cs="Times New Roman" w:hint="eastAsia"/>
          <w:b/>
          <w:bCs/>
          <w:sz w:val="24"/>
          <w:szCs w:val="24"/>
        </w:rPr>
        <w:t xml:space="preserve"> transactions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These transactions are conducted and priced under the normal commercial terms and business procedures as if they were conducted with independent third parties. The amount of transactions with related parties is not significant to the total volume of each type of the Group’s business.</w:t>
      </w:r>
    </w:p>
    <w:p w:rsidR="000B609E" w:rsidRDefault="00B220E1">
      <w:pPr>
        <w:pStyle w:val="11"/>
        <w:numPr>
          <w:ilvl w:val="0"/>
          <w:numId w:val="39"/>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hint="eastAsia"/>
          <w:sz w:val="24"/>
          <w:szCs w:val="24"/>
        </w:rPr>
        <w:t>nterest income of loans</w:t>
      </w:r>
    </w:p>
    <w:tbl>
      <w:tblPr>
        <w:tblW w:w="9529" w:type="dxa"/>
        <w:jc w:val="center"/>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5612"/>
        <w:gridCol w:w="1958"/>
        <w:gridCol w:w="1959"/>
      </w:tblGrid>
      <w:tr w:rsidR="000B609E">
        <w:trPr>
          <w:trHeight w:val="300"/>
          <w:tblHeader/>
          <w:jc w:val="center"/>
        </w:trPr>
        <w:tc>
          <w:tcPr>
            <w:tcW w:w="5612" w:type="dxa"/>
            <w:shd w:val="clear" w:color="auto" w:fill="auto"/>
            <w:vAlign w:val="center"/>
          </w:tcPr>
          <w:p w:rsidR="000B609E" w:rsidRDefault="00B220E1">
            <w:pPr>
              <w:spacing w:afterLines="0" w:after="0"/>
              <w:ind w:firstLine="361"/>
              <w:jc w:val="center"/>
              <w:rPr>
                <w:rFonts w:ascii="宋体" w:hAnsi="宋体" w:cs="宋体"/>
                <w:b/>
              </w:rPr>
            </w:pPr>
            <w:r>
              <w:rPr>
                <w:rFonts w:ascii="Times New Roman" w:eastAsia="宋体" w:hAnsi="Times New Roman" w:cs="Times New Roman"/>
                <w:b/>
                <w:kern w:val="0"/>
                <w:sz w:val="18"/>
                <w:szCs w:val="18"/>
              </w:rPr>
              <w:t>Name of related parties</w:t>
            </w:r>
          </w:p>
        </w:tc>
        <w:tc>
          <w:tcPr>
            <w:tcW w:w="1958" w:type="dxa"/>
            <w:shd w:val="clear" w:color="auto" w:fill="auto"/>
            <w:vAlign w:val="center"/>
          </w:tcPr>
          <w:p w:rsidR="000B609E" w:rsidRDefault="00B220E1">
            <w:pPr>
              <w:spacing w:afterLines="0" w:after="0"/>
              <w:ind w:firstLine="402"/>
              <w:jc w:val="center"/>
              <w:rPr>
                <w:rFonts w:ascii="宋体" w:hAnsi="宋体" w:cs="宋体"/>
                <w:b/>
                <w:color w:val="000000"/>
              </w:rPr>
            </w:pPr>
            <w:r>
              <w:rPr>
                <w:rFonts w:ascii="Times New Roman" w:eastAsia="宋体" w:hAnsi="Times New Roman" w:cs="Times New Roman"/>
                <w:b/>
                <w:color w:val="000000"/>
                <w:kern w:val="0"/>
                <w:sz w:val="20"/>
                <w:szCs w:val="20"/>
              </w:rPr>
              <w:t>20</w:t>
            </w:r>
            <w:r>
              <w:rPr>
                <w:rFonts w:ascii="Times New Roman" w:eastAsia="宋体" w:hAnsi="Times New Roman" w:cs="Times New Roman" w:hint="eastAsia"/>
                <w:b/>
                <w:color w:val="000000"/>
                <w:kern w:val="0"/>
                <w:sz w:val="20"/>
                <w:szCs w:val="20"/>
              </w:rPr>
              <w:t>20</w:t>
            </w:r>
          </w:p>
        </w:tc>
        <w:tc>
          <w:tcPr>
            <w:tcW w:w="1959" w:type="dxa"/>
            <w:shd w:val="clear" w:color="auto" w:fill="auto"/>
            <w:vAlign w:val="center"/>
          </w:tcPr>
          <w:p w:rsidR="000B609E" w:rsidRDefault="00B220E1">
            <w:pPr>
              <w:spacing w:afterLines="0" w:after="0"/>
              <w:ind w:firstLine="402"/>
              <w:jc w:val="center"/>
              <w:rPr>
                <w:rFonts w:ascii="Times New Roman" w:eastAsia="宋体" w:hAnsi="Times New Roman" w:cs="Times New Roman"/>
                <w:b/>
                <w:color w:val="000000"/>
                <w:kern w:val="0"/>
                <w:sz w:val="20"/>
                <w:szCs w:val="20"/>
              </w:rPr>
            </w:pPr>
            <w:r>
              <w:rPr>
                <w:rFonts w:ascii="Times New Roman" w:eastAsia="宋体" w:hAnsi="Times New Roman" w:cs="Times New Roman" w:hint="eastAsia"/>
                <w:b/>
                <w:color w:val="000000"/>
                <w:kern w:val="0"/>
                <w:sz w:val="20"/>
                <w:szCs w:val="20"/>
              </w:rPr>
              <w:t>2019</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Wanxin</w:t>
            </w:r>
            <w:proofErr w:type="spellEnd"/>
            <w:r>
              <w:rPr>
                <w:rFonts w:ascii="Times New Roman" w:eastAsia="宋体" w:hAnsi="Times New Roman" w:cs="Times New Roman" w:hint="eastAsia"/>
                <w:kern w:val="0"/>
                <w:sz w:val="18"/>
                <w:szCs w:val="18"/>
              </w:rPr>
              <w:t xml:space="preserve"> Tungsten Molybdenum Products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2,589,916.70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3,387,083.22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Taizhou Jindong Appliance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1,220,144.77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1,216,666.64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Jiaxin</w:t>
            </w:r>
            <w:proofErr w:type="spellEnd"/>
            <w:r>
              <w:rPr>
                <w:rFonts w:ascii="Times New Roman" w:eastAsia="宋体" w:hAnsi="Times New Roman" w:cs="Times New Roman" w:hint="eastAsia"/>
                <w:kern w:val="0"/>
                <w:sz w:val="18"/>
                <w:szCs w:val="18"/>
              </w:rPr>
              <w:t xml:space="preserve"> Architectural Decoration Engineering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2,243,402.80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1,705,708.31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Taizhou Textile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65,334.20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108,849.90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Jinchen</w:t>
            </w:r>
            <w:proofErr w:type="spellEnd"/>
            <w:r>
              <w:rPr>
                <w:rFonts w:ascii="Times New Roman" w:eastAsia="宋体" w:hAnsi="Times New Roman" w:cs="Times New Roman" w:hint="eastAsia"/>
                <w:kern w:val="0"/>
                <w:sz w:val="18"/>
                <w:szCs w:val="18"/>
              </w:rPr>
              <w:t xml:space="preserve"> Trading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1,181,180.62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1,173,091.73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Jinchen</w:t>
            </w:r>
            <w:proofErr w:type="spellEnd"/>
            <w:r>
              <w:rPr>
                <w:rFonts w:ascii="Times New Roman" w:eastAsia="宋体" w:hAnsi="Times New Roman" w:cs="Times New Roman" w:hint="eastAsia"/>
                <w:kern w:val="0"/>
                <w:sz w:val="18"/>
                <w:szCs w:val="18"/>
              </w:rPr>
              <w:t xml:space="preserve"> Group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4,329,161.68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5,578,719.05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Zhengxing</w:t>
            </w:r>
            <w:proofErr w:type="spellEnd"/>
            <w:r>
              <w:rPr>
                <w:rFonts w:ascii="Times New Roman" w:eastAsia="宋体" w:hAnsi="Times New Roman" w:cs="Times New Roman" w:hint="eastAsia"/>
                <w:kern w:val="0"/>
                <w:sz w:val="18"/>
                <w:szCs w:val="18"/>
              </w:rPr>
              <w:t xml:space="preserve"> Construction &amp; Engineering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1,666,228.77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1,654,616.46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lastRenderedPageBreak/>
              <w:t xml:space="preserve">Jiangsu </w:t>
            </w:r>
            <w:proofErr w:type="spellStart"/>
            <w:r>
              <w:rPr>
                <w:rFonts w:ascii="Times New Roman" w:eastAsia="宋体" w:hAnsi="Times New Roman" w:cs="Times New Roman" w:hint="eastAsia"/>
                <w:kern w:val="0"/>
                <w:sz w:val="18"/>
                <w:szCs w:val="18"/>
              </w:rPr>
              <w:t>Zhengfei</w:t>
            </w:r>
            <w:proofErr w:type="spellEnd"/>
            <w:r>
              <w:rPr>
                <w:rFonts w:ascii="Times New Roman" w:eastAsia="宋体" w:hAnsi="Times New Roman" w:cs="Times New Roman" w:hint="eastAsia"/>
                <w:kern w:val="0"/>
                <w:sz w:val="18"/>
                <w:szCs w:val="18"/>
              </w:rPr>
              <w:t xml:space="preserve"> Construction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11,297,369.98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7,775,878.28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Zhengda</w:t>
            </w:r>
            <w:proofErr w:type="spellEnd"/>
            <w:r>
              <w:rPr>
                <w:rFonts w:ascii="Times New Roman" w:eastAsia="宋体" w:hAnsi="Times New Roman" w:cs="Times New Roman" w:hint="eastAsia"/>
                <w:kern w:val="0"/>
                <w:sz w:val="18"/>
                <w:szCs w:val="18"/>
              </w:rPr>
              <w:t xml:space="preserve"> Textile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1,266,605.21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1,484,623.14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Yaguang</w:t>
            </w:r>
            <w:proofErr w:type="spellEnd"/>
            <w:r>
              <w:rPr>
                <w:rFonts w:ascii="Times New Roman" w:eastAsia="宋体" w:hAnsi="Times New Roman" w:cs="Times New Roman" w:hint="eastAsia"/>
                <w:kern w:val="0"/>
                <w:sz w:val="18"/>
                <w:szCs w:val="18"/>
              </w:rPr>
              <w:t xml:space="preserve"> Metal Products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1,494,758.35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1,543,879.15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Xincheng</w:t>
            </w:r>
            <w:proofErr w:type="spellEnd"/>
            <w:r>
              <w:rPr>
                <w:rFonts w:ascii="Times New Roman" w:eastAsia="宋体" w:hAnsi="Times New Roman" w:cs="Times New Roman" w:hint="eastAsia"/>
                <w:kern w:val="0"/>
                <w:sz w:val="18"/>
                <w:szCs w:val="18"/>
              </w:rPr>
              <w:t xml:space="preserve"> Electronics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1,790,297.91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1,827,988.96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proofErr w:type="gramStart"/>
            <w:r>
              <w:rPr>
                <w:rFonts w:ascii="Times New Roman" w:eastAsia="宋体" w:hAnsi="Times New Roman" w:cs="Times New Roman" w:hint="eastAsia"/>
                <w:kern w:val="0"/>
                <w:sz w:val="18"/>
                <w:szCs w:val="18"/>
              </w:rPr>
              <w:t>Taida</w:t>
            </w:r>
            <w:proofErr w:type="spellEnd"/>
            <w:r>
              <w:rPr>
                <w:rFonts w:ascii="Times New Roman" w:eastAsia="宋体" w:hAnsi="Times New Roman" w:cs="Times New Roman" w:hint="eastAsia"/>
                <w:kern w:val="0"/>
                <w:sz w:val="18"/>
                <w:szCs w:val="18"/>
              </w:rPr>
              <w:t xml:space="preserve">  Holding</w:t>
            </w:r>
            <w:proofErr w:type="gramEnd"/>
            <w:r>
              <w:rPr>
                <w:rFonts w:ascii="Times New Roman" w:eastAsia="宋体" w:hAnsi="Times New Roman" w:cs="Times New Roman" w:hint="eastAsia"/>
                <w:kern w:val="0"/>
                <w:sz w:val="18"/>
                <w:szCs w:val="18"/>
              </w:rPr>
              <w:t xml:space="preserve"> Group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1,957,889.08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128,205.32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Shuangdeng</w:t>
            </w:r>
            <w:proofErr w:type="spellEnd"/>
            <w:r>
              <w:rPr>
                <w:rFonts w:ascii="Times New Roman" w:eastAsia="宋体" w:hAnsi="Times New Roman" w:cs="Times New Roman" w:hint="eastAsia"/>
                <w:kern w:val="0"/>
                <w:sz w:val="18"/>
                <w:szCs w:val="18"/>
              </w:rPr>
              <w:t xml:space="preserve"> </w:t>
            </w:r>
            <w:proofErr w:type="spellStart"/>
            <w:r>
              <w:rPr>
                <w:rFonts w:ascii="Times New Roman" w:eastAsia="宋体" w:hAnsi="Times New Roman" w:cs="Times New Roman" w:hint="eastAsia"/>
                <w:kern w:val="0"/>
                <w:sz w:val="18"/>
                <w:szCs w:val="18"/>
              </w:rPr>
              <w:t>Fulangte</w:t>
            </w:r>
            <w:proofErr w:type="spellEnd"/>
            <w:r>
              <w:rPr>
                <w:rFonts w:ascii="Times New Roman" w:eastAsia="宋体" w:hAnsi="Times New Roman" w:cs="Times New Roman" w:hint="eastAsia"/>
                <w:kern w:val="0"/>
                <w:sz w:val="18"/>
                <w:szCs w:val="18"/>
              </w:rPr>
              <w:t xml:space="preserve"> New Technology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370,958.32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270,485.41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Shuangdeng</w:t>
            </w:r>
            <w:proofErr w:type="spellEnd"/>
            <w:r>
              <w:rPr>
                <w:rFonts w:ascii="Times New Roman" w:eastAsia="宋体" w:hAnsi="Times New Roman" w:cs="Times New Roman" w:hint="eastAsia"/>
                <w:kern w:val="0"/>
                <w:sz w:val="18"/>
                <w:szCs w:val="18"/>
              </w:rPr>
              <w:t xml:space="preserve"> Power Technology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4,012,875.00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3,970,462.50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Richu</w:t>
            </w:r>
            <w:proofErr w:type="spellEnd"/>
            <w:r>
              <w:rPr>
                <w:rFonts w:ascii="Times New Roman" w:eastAsia="宋体" w:hAnsi="Times New Roman" w:cs="Times New Roman" w:hint="eastAsia"/>
                <w:kern w:val="0"/>
                <w:sz w:val="18"/>
                <w:szCs w:val="18"/>
              </w:rPr>
              <w:t xml:space="preserve"> Chemical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738,111.13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736,088.91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Minxing</w:t>
            </w:r>
            <w:proofErr w:type="spellEnd"/>
            <w:r>
              <w:rPr>
                <w:rFonts w:ascii="Times New Roman" w:eastAsia="宋体" w:hAnsi="Times New Roman" w:cs="Times New Roman" w:hint="eastAsia"/>
                <w:kern w:val="0"/>
                <w:sz w:val="18"/>
                <w:szCs w:val="18"/>
              </w:rPr>
              <w:t xml:space="preserve"> Construction Materials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1,670,350.01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1,654,116.68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Jiangsu Green Forest Landscape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7,015,063.90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4,769,960.40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Jingdian</w:t>
            </w:r>
            <w:proofErr w:type="spellEnd"/>
            <w:r>
              <w:rPr>
                <w:rFonts w:ascii="Times New Roman" w:eastAsia="宋体" w:hAnsi="Times New Roman" w:cs="Times New Roman" w:hint="eastAsia"/>
                <w:kern w:val="0"/>
                <w:sz w:val="18"/>
                <w:szCs w:val="18"/>
              </w:rPr>
              <w:t xml:space="preserve"> Trading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1,067,755.58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1,216,000.02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Huada</w:t>
            </w:r>
            <w:proofErr w:type="spellEnd"/>
            <w:r>
              <w:rPr>
                <w:rFonts w:ascii="Times New Roman" w:eastAsia="宋体" w:hAnsi="Times New Roman" w:cs="Times New Roman" w:hint="eastAsia"/>
                <w:kern w:val="0"/>
                <w:sz w:val="18"/>
                <w:szCs w:val="18"/>
              </w:rPr>
              <w:t xml:space="preserve"> Textile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2,757,350.26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2,936,327.11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Fuda</w:t>
            </w:r>
            <w:proofErr w:type="spellEnd"/>
            <w:r>
              <w:rPr>
                <w:rFonts w:ascii="Times New Roman" w:eastAsia="宋体" w:hAnsi="Times New Roman" w:cs="Times New Roman" w:hint="eastAsia"/>
                <w:kern w:val="0"/>
                <w:sz w:val="18"/>
                <w:szCs w:val="18"/>
              </w:rPr>
              <w:t xml:space="preserve"> Electronics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381,388.35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1,006,219.58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Fengda</w:t>
            </w:r>
            <w:proofErr w:type="spellEnd"/>
            <w:r>
              <w:rPr>
                <w:rFonts w:ascii="Times New Roman" w:eastAsia="宋体" w:hAnsi="Times New Roman" w:cs="Times New Roman" w:hint="eastAsia"/>
                <w:kern w:val="0"/>
                <w:sz w:val="18"/>
                <w:szCs w:val="18"/>
              </w:rPr>
              <w:t xml:space="preserve"> Import and Export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1,240,203.13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1,345,411.48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Fengda</w:t>
            </w:r>
            <w:proofErr w:type="spellEnd"/>
            <w:r>
              <w:rPr>
                <w:rFonts w:ascii="Times New Roman" w:eastAsia="宋体" w:hAnsi="Times New Roman" w:cs="Times New Roman" w:hint="eastAsia"/>
                <w:kern w:val="0"/>
                <w:sz w:val="18"/>
                <w:szCs w:val="18"/>
              </w:rPr>
              <w:t xml:space="preserve"> Textile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1,115,835.40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1,202,350.42 </w:t>
            </w:r>
          </w:p>
        </w:tc>
      </w:tr>
      <w:tr w:rsidR="000B609E">
        <w:trPr>
          <w:trHeight w:hRule="exact" w:val="454"/>
          <w:jc w:val="center"/>
        </w:trPr>
        <w:tc>
          <w:tcPr>
            <w:tcW w:w="5612"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Dajun</w:t>
            </w:r>
            <w:proofErr w:type="spellEnd"/>
            <w:r>
              <w:rPr>
                <w:rFonts w:ascii="Times New Roman" w:eastAsia="宋体" w:hAnsi="Times New Roman" w:cs="Times New Roman" w:hint="eastAsia"/>
                <w:kern w:val="0"/>
                <w:sz w:val="18"/>
                <w:szCs w:val="18"/>
              </w:rPr>
              <w:t xml:space="preserve"> Group Co., Ltd</w:t>
            </w:r>
          </w:p>
        </w:tc>
        <w:tc>
          <w:tcPr>
            <w:tcW w:w="1958"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3,157,020.44 </w:t>
            </w:r>
          </w:p>
        </w:tc>
        <w:tc>
          <w:tcPr>
            <w:tcW w:w="1959"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3,557,575.18 </w:t>
            </w:r>
          </w:p>
        </w:tc>
      </w:tr>
      <w:tr w:rsidR="000B609E">
        <w:trPr>
          <w:trHeight w:hRule="exact" w:val="454"/>
          <w:jc w:val="center"/>
        </w:trPr>
        <w:tc>
          <w:tcPr>
            <w:tcW w:w="5612" w:type="dxa"/>
            <w:vAlign w:val="center"/>
          </w:tcPr>
          <w:p w:rsidR="000B609E" w:rsidRDefault="00B220E1">
            <w:pPr>
              <w:spacing w:afterLines="0" w:after="0"/>
              <w:ind w:firstLineChars="600" w:firstLine="1084"/>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958" w:type="dxa"/>
            <w:vAlign w:val="center"/>
          </w:tcPr>
          <w:p w:rsidR="000B609E" w:rsidRPr="004B24DA" w:rsidRDefault="00B220E1">
            <w:pPr>
              <w:spacing w:afterLines="0" w:after="0"/>
              <w:ind w:firstLine="402"/>
              <w:jc w:val="right"/>
              <w:textAlignment w:val="top"/>
              <w:rPr>
                <w:rFonts w:ascii="Arial Narrow" w:hAnsi="Arial Narrow" w:cs="Calibri"/>
                <w:b/>
                <w:sz w:val="20"/>
                <w:szCs w:val="18"/>
              </w:rPr>
            </w:pPr>
            <w:r w:rsidRPr="004B24DA">
              <w:rPr>
                <w:rFonts w:ascii="Arial Narrow" w:hAnsi="Arial Narrow" w:cs="Calibri"/>
                <w:b/>
                <w:bCs/>
                <w:sz w:val="20"/>
              </w:rPr>
              <w:t xml:space="preserve"> 54,629,201.59 </w:t>
            </w:r>
            <w:r w:rsidRPr="004B24DA">
              <w:rPr>
                <w:rFonts w:ascii="Arial Narrow" w:hAnsi="Arial Narrow" w:cs="Calibri"/>
                <w:b/>
                <w:sz w:val="20"/>
              </w:rPr>
              <w:t xml:space="preserve"> </w:t>
            </w:r>
          </w:p>
        </w:tc>
        <w:tc>
          <w:tcPr>
            <w:tcW w:w="1959" w:type="dxa"/>
            <w:vAlign w:val="center"/>
          </w:tcPr>
          <w:p w:rsidR="000B609E" w:rsidRPr="004B24DA" w:rsidRDefault="00B220E1">
            <w:pPr>
              <w:spacing w:afterLines="0" w:after="0"/>
              <w:ind w:firstLine="402"/>
              <w:jc w:val="right"/>
              <w:textAlignment w:val="top"/>
              <w:rPr>
                <w:rFonts w:ascii="Arial Narrow" w:hAnsi="Arial Narrow" w:cs="Calibri"/>
                <w:b/>
                <w:bCs/>
                <w:sz w:val="20"/>
              </w:rPr>
            </w:pPr>
            <w:r w:rsidRPr="004B24DA">
              <w:rPr>
                <w:rFonts w:ascii="Arial Narrow" w:hAnsi="Arial Narrow" w:cs="Calibri" w:hint="eastAsia"/>
                <w:b/>
                <w:bCs/>
                <w:sz w:val="20"/>
              </w:rPr>
              <w:t xml:space="preserve"> 51,669,101.16 </w:t>
            </w:r>
          </w:p>
        </w:tc>
      </w:tr>
    </w:tbl>
    <w:p w:rsidR="000B609E" w:rsidRDefault="00B220E1">
      <w:pPr>
        <w:pStyle w:val="11"/>
        <w:numPr>
          <w:ilvl w:val="0"/>
          <w:numId w:val="39"/>
        </w:numPr>
        <w:spacing w:beforeLines="50" w:before="156" w:after="156" w:line="360" w:lineRule="auto"/>
        <w:ind w:left="0" w:firstLineChars="0" w:firstLine="113"/>
        <w:rPr>
          <w:rFonts w:ascii="Times New Roman" w:hAnsi="Times New Roman" w:cs="Times New Roman"/>
          <w:sz w:val="24"/>
          <w:szCs w:val="24"/>
        </w:rPr>
      </w:pPr>
      <w:r>
        <w:rPr>
          <w:rFonts w:ascii="Times New Roman" w:hAnsi="Times New Roman" w:cs="Times New Roman" w:hint="eastAsia"/>
          <w:sz w:val="24"/>
          <w:szCs w:val="24"/>
        </w:rPr>
        <w:t xml:space="preserve">Interest </w:t>
      </w:r>
      <w:r>
        <w:rPr>
          <w:rFonts w:ascii="Times New Roman" w:hAnsi="Times New Roman" w:cs="Times New Roman"/>
          <w:sz w:val="24"/>
          <w:szCs w:val="24"/>
        </w:rPr>
        <w:t>expenditure</w:t>
      </w:r>
      <w:r>
        <w:rPr>
          <w:rFonts w:ascii="Times New Roman" w:hAnsi="Times New Roman" w:cs="Times New Roman" w:hint="eastAsia"/>
          <w:sz w:val="24"/>
          <w:szCs w:val="24"/>
        </w:rPr>
        <w:t xml:space="preserve"> of deposit </w:t>
      </w:r>
    </w:p>
    <w:tbl>
      <w:tblPr>
        <w:tblW w:w="9600" w:type="dxa"/>
        <w:tblInd w:w="-544"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5628"/>
        <w:gridCol w:w="1986"/>
        <w:gridCol w:w="1986"/>
      </w:tblGrid>
      <w:tr w:rsidR="000B609E">
        <w:trPr>
          <w:trHeight w:val="300"/>
          <w:tblHeader/>
        </w:trPr>
        <w:tc>
          <w:tcPr>
            <w:tcW w:w="5628" w:type="dxa"/>
            <w:shd w:val="clear" w:color="auto" w:fill="auto"/>
            <w:vAlign w:val="center"/>
          </w:tcPr>
          <w:p w:rsidR="000B609E" w:rsidRDefault="00B220E1">
            <w:pPr>
              <w:spacing w:afterLines="0" w:after="0"/>
              <w:ind w:firstLine="402"/>
              <w:jc w:val="center"/>
              <w:rPr>
                <w:rFonts w:ascii="宋体" w:hAnsi="宋体" w:cs="宋体"/>
                <w:b/>
              </w:rPr>
            </w:pPr>
            <w:r>
              <w:rPr>
                <w:rFonts w:ascii="Times New Roman" w:eastAsia="宋体" w:hAnsi="Times New Roman" w:cs="Times New Roman"/>
                <w:b/>
                <w:kern w:val="0"/>
                <w:sz w:val="20"/>
                <w:szCs w:val="20"/>
              </w:rPr>
              <w:t>Name of related parties</w:t>
            </w:r>
          </w:p>
        </w:tc>
        <w:tc>
          <w:tcPr>
            <w:tcW w:w="1986" w:type="dxa"/>
            <w:shd w:val="clear" w:color="auto" w:fill="auto"/>
            <w:vAlign w:val="center"/>
          </w:tcPr>
          <w:p w:rsidR="000B609E" w:rsidRDefault="00B220E1">
            <w:pPr>
              <w:spacing w:afterLines="0" w:after="0"/>
              <w:ind w:firstLine="402"/>
              <w:jc w:val="center"/>
              <w:rPr>
                <w:rFonts w:ascii="宋体" w:hAnsi="宋体" w:cs="宋体"/>
                <w:b/>
                <w:color w:val="000000"/>
              </w:rPr>
            </w:pPr>
            <w:r>
              <w:rPr>
                <w:rFonts w:ascii="Times New Roman" w:eastAsia="宋体" w:hAnsi="Times New Roman" w:cs="Times New Roman"/>
                <w:b/>
                <w:color w:val="000000"/>
                <w:kern w:val="0"/>
                <w:sz w:val="20"/>
                <w:szCs w:val="20"/>
              </w:rPr>
              <w:t>20</w:t>
            </w:r>
            <w:r>
              <w:rPr>
                <w:rFonts w:ascii="Times New Roman" w:eastAsia="宋体" w:hAnsi="Times New Roman" w:cs="Times New Roman" w:hint="eastAsia"/>
                <w:b/>
                <w:color w:val="000000"/>
                <w:kern w:val="0"/>
                <w:sz w:val="20"/>
                <w:szCs w:val="20"/>
              </w:rPr>
              <w:t>20</w:t>
            </w:r>
          </w:p>
        </w:tc>
        <w:tc>
          <w:tcPr>
            <w:tcW w:w="1986" w:type="dxa"/>
            <w:shd w:val="clear" w:color="auto" w:fill="auto"/>
            <w:vAlign w:val="center"/>
          </w:tcPr>
          <w:p w:rsidR="000B609E" w:rsidRDefault="00B220E1">
            <w:pPr>
              <w:spacing w:afterLines="0" w:after="0"/>
              <w:ind w:firstLine="402"/>
              <w:jc w:val="center"/>
              <w:rPr>
                <w:rFonts w:ascii="Times New Roman" w:eastAsia="宋体" w:hAnsi="Times New Roman" w:cs="Times New Roman"/>
                <w:b/>
                <w:color w:val="000000"/>
                <w:kern w:val="0"/>
                <w:sz w:val="20"/>
                <w:szCs w:val="20"/>
              </w:rPr>
            </w:pPr>
            <w:r>
              <w:rPr>
                <w:rFonts w:ascii="Times New Roman" w:eastAsia="宋体" w:hAnsi="Times New Roman" w:cs="Times New Roman" w:hint="eastAsia"/>
                <w:b/>
                <w:color w:val="000000"/>
                <w:kern w:val="0"/>
                <w:sz w:val="20"/>
                <w:szCs w:val="20"/>
              </w:rPr>
              <w:t>2019</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Jiangsu Jiangyin Rural Commercial Bank Co., Ltd.</w:t>
            </w:r>
          </w:p>
        </w:tc>
        <w:tc>
          <w:tcPr>
            <w:tcW w:w="1986" w:type="dxa"/>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1,333.62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Wanxin</w:t>
            </w:r>
            <w:proofErr w:type="spellEnd"/>
            <w:r>
              <w:rPr>
                <w:rFonts w:ascii="Times New Roman" w:eastAsia="宋体" w:hAnsi="Times New Roman" w:cs="Times New Roman" w:hint="eastAsia"/>
                <w:kern w:val="0"/>
                <w:sz w:val="18"/>
                <w:szCs w:val="18"/>
              </w:rPr>
              <w:t xml:space="preserve"> Tungsten Molybdenum Products Co., Ltd</w:t>
            </w:r>
          </w:p>
        </w:tc>
        <w:tc>
          <w:tcPr>
            <w:tcW w:w="1986" w:type="dxa"/>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7,607.14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5,879.21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Taida</w:t>
            </w:r>
            <w:proofErr w:type="spellEnd"/>
            <w:r>
              <w:rPr>
                <w:rFonts w:ascii="Times New Roman" w:eastAsia="宋体" w:hAnsi="Times New Roman" w:cs="Times New Roman" w:hint="eastAsia"/>
                <w:kern w:val="0"/>
                <w:sz w:val="18"/>
                <w:szCs w:val="18"/>
              </w:rPr>
              <w:t xml:space="preserve"> Investment Co., Ltd</w:t>
            </w:r>
          </w:p>
        </w:tc>
        <w:tc>
          <w:tcPr>
            <w:tcW w:w="1986" w:type="dxa"/>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2,047.91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Taizhou Jindong Appliance Co., Ltd</w:t>
            </w:r>
          </w:p>
        </w:tc>
        <w:tc>
          <w:tcPr>
            <w:tcW w:w="1986" w:type="dxa"/>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468.95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1,009.63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Jiangyan</w:t>
            </w:r>
            <w:proofErr w:type="spellEnd"/>
            <w:r>
              <w:rPr>
                <w:rFonts w:ascii="Times New Roman" w:eastAsia="宋体" w:hAnsi="Times New Roman" w:cs="Times New Roman" w:hint="eastAsia"/>
                <w:kern w:val="0"/>
                <w:sz w:val="18"/>
                <w:szCs w:val="18"/>
              </w:rPr>
              <w:t xml:space="preserve"> State-owned Assets Investment Group Co., Ltd. </w:t>
            </w:r>
          </w:p>
        </w:tc>
        <w:tc>
          <w:tcPr>
            <w:tcW w:w="1986" w:type="dxa"/>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67,568.21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Jiaxin</w:t>
            </w:r>
            <w:proofErr w:type="spellEnd"/>
            <w:r>
              <w:rPr>
                <w:rFonts w:ascii="Times New Roman" w:eastAsia="宋体" w:hAnsi="Times New Roman" w:cs="Times New Roman" w:hint="eastAsia"/>
                <w:kern w:val="0"/>
                <w:sz w:val="18"/>
                <w:szCs w:val="18"/>
              </w:rPr>
              <w:t xml:space="preserve"> Architectural Decoration Engineering Co., Ltd</w:t>
            </w:r>
          </w:p>
        </w:tc>
        <w:tc>
          <w:tcPr>
            <w:tcW w:w="1986" w:type="dxa"/>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12,461.57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2,527.40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Boshi</w:t>
            </w:r>
            <w:proofErr w:type="spellEnd"/>
            <w:r>
              <w:rPr>
                <w:rFonts w:ascii="Times New Roman" w:eastAsia="宋体" w:hAnsi="Times New Roman" w:cs="Times New Roman" w:hint="eastAsia"/>
                <w:kern w:val="0"/>
                <w:sz w:val="18"/>
                <w:szCs w:val="18"/>
              </w:rPr>
              <w:t xml:space="preserve"> Logistics Co., Ltd</w:t>
            </w:r>
          </w:p>
        </w:tc>
        <w:tc>
          <w:tcPr>
            <w:tcW w:w="1986" w:type="dxa"/>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91.07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Dongfang</w:t>
            </w:r>
            <w:proofErr w:type="spellEnd"/>
            <w:r>
              <w:rPr>
                <w:rFonts w:ascii="Times New Roman" w:eastAsia="宋体" w:hAnsi="Times New Roman" w:cs="Times New Roman" w:hint="eastAsia"/>
                <w:kern w:val="0"/>
                <w:sz w:val="18"/>
                <w:szCs w:val="18"/>
              </w:rPr>
              <w:t xml:space="preserve"> Special Chemical Co., Ltd</w:t>
            </w:r>
          </w:p>
        </w:tc>
        <w:tc>
          <w:tcPr>
            <w:tcW w:w="1986" w:type="dxa"/>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405.25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Taizhou Textile Co., Ltd</w:t>
            </w:r>
          </w:p>
        </w:tc>
        <w:tc>
          <w:tcPr>
            <w:tcW w:w="1986" w:type="dxa"/>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3,436.45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6,436.19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lastRenderedPageBreak/>
              <w:t>Jinchen</w:t>
            </w:r>
            <w:proofErr w:type="spellEnd"/>
            <w:r>
              <w:rPr>
                <w:rFonts w:ascii="Times New Roman" w:eastAsia="宋体" w:hAnsi="Times New Roman" w:cs="Times New Roman" w:hint="eastAsia"/>
                <w:kern w:val="0"/>
                <w:sz w:val="18"/>
                <w:szCs w:val="18"/>
              </w:rPr>
              <w:t xml:space="preserve"> Trading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2,858.94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3,583.47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Jinchen</w:t>
            </w:r>
            <w:proofErr w:type="spellEnd"/>
            <w:r>
              <w:rPr>
                <w:rFonts w:ascii="Times New Roman" w:eastAsia="宋体" w:hAnsi="Times New Roman" w:cs="Times New Roman" w:hint="eastAsia"/>
                <w:kern w:val="0"/>
                <w:sz w:val="18"/>
                <w:szCs w:val="18"/>
              </w:rPr>
              <w:t xml:space="preserve"> Group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3,862.38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319.46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Zhengxing</w:t>
            </w:r>
            <w:proofErr w:type="spellEnd"/>
            <w:r>
              <w:rPr>
                <w:rFonts w:ascii="Times New Roman" w:eastAsia="宋体" w:hAnsi="Times New Roman" w:cs="Times New Roman" w:hint="eastAsia"/>
                <w:kern w:val="0"/>
                <w:sz w:val="18"/>
                <w:szCs w:val="18"/>
              </w:rPr>
              <w:t xml:space="preserve"> Construction &amp; Engineering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364.20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Zhengfei</w:t>
            </w:r>
            <w:proofErr w:type="spellEnd"/>
            <w:r>
              <w:rPr>
                <w:rFonts w:ascii="Times New Roman" w:eastAsia="宋体" w:hAnsi="Times New Roman" w:cs="Times New Roman" w:hint="eastAsia"/>
                <w:kern w:val="0"/>
                <w:sz w:val="18"/>
                <w:szCs w:val="18"/>
              </w:rPr>
              <w:t xml:space="preserve"> Construction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4,342.76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854.19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Zhengda</w:t>
            </w:r>
            <w:proofErr w:type="spellEnd"/>
            <w:r>
              <w:rPr>
                <w:rFonts w:ascii="Times New Roman" w:eastAsia="宋体" w:hAnsi="Times New Roman" w:cs="Times New Roman" w:hint="eastAsia"/>
                <w:kern w:val="0"/>
                <w:sz w:val="18"/>
                <w:szCs w:val="18"/>
              </w:rPr>
              <w:t xml:space="preserve"> Textile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2,605.20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1,875.78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Yaguang</w:t>
            </w:r>
            <w:proofErr w:type="spellEnd"/>
            <w:r>
              <w:rPr>
                <w:rFonts w:ascii="Times New Roman" w:eastAsia="宋体" w:hAnsi="Times New Roman" w:cs="Times New Roman" w:hint="eastAsia"/>
                <w:kern w:val="0"/>
                <w:sz w:val="18"/>
                <w:szCs w:val="18"/>
              </w:rPr>
              <w:t xml:space="preserve"> Metal Products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1,852.84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2,023.10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Xincheng</w:t>
            </w:r>
            <w:proofErr w:type="spellEnd"/>
            <w:r>
              <w:rPr>
                <w:rFonts w:ascii="Times New Roman" w:eastAsia="宋体" w:hAnsi="Times New Roman" w:cs="Times New Roman" w:hint="eastAsia"/>
                <w:kern w:val="0"/>
                <w:sz w:val="18"/>
                <w:szCs w:val="18"/>
              </w:rPr>
              <w:t xml:space="preserve"> Electronics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3,410.81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1,435.02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proofErr w:type="gramStart"/>
            <w:r>
              <w:rPr>
                <w:rFonts w:ascii="Times New Roman" w:eastAsia="宋体" w:hAnsi="Times New Roman" w:cs="Times New Roman" w:hint="eastAsia"/>
                <w:kern w:val="0"/>
                <w:sz w:val="18"/>
                <w:szCs w:val="18"/>
              </w:rPr>
              <w:t>Taida</w:t>
            </w:r>
            <w:proofErr w:type="spellEnd"/>
            <w:r>
              <w:rPr>
                <w:rFonts w:ascii="Times New Roman" w:eastAsia="宋体" w:hAnsi="Times New Roman" w:cs="Times New Roman" w:hint="eastAsia"/>
                <w:kern w:val="0"/>
                <w:sz w:val="18"/>
                <w:szCs w:val="18"/>
              </w:rPr>
              <w:t xml:space="preserve">  Holding</w:t>
            </w:r>
            <w:proofErr w:type="gramEnd"/>
            <w:r>
              <w:rPr>
                <w:rFonts w:ascii="Times New Roman" w:eastAsia="宋体" w:hAnsi="Times New Roman" w:cs="Times New Roman" w:hint="eastAsia"/>
                <w:kern w:val="0"/>
                <w:sz w:val="18"/>
                <w:szCs w:val="18"/>
              </w:rPr>
              <w:t xml:space="preserve"> Group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7,161.90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5,856.72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Shuangdeng</w:t>
            </w:r>
            <w:proofErr w:type="spellEnd"/>
            <w:r>
              <w:rPr>
                <w:rFonts w:ascii="Times New Roman" w:eastAsia="宋体" w:hAnsi="Times New Roman" w:cs="Times New Roman" w:hint="eastAsia"/>
                <w:kern w:val="0"/>
                <w:sz w:val="18"/>
                <w:szCs w:val="18"/>
              </w:rPr>
              <w:t xml:space="preserve"> </w:t>
            </w:r>
            <w:proofErr w:type="spellStart"/>
            <w:r>
              <w:rPr>
                <w:rFonts w:ascii="Times New Roman" w:eastAsia="宋体" w:hAnsi="Times New Roman" w:cs="Times New Roman" w:hint="eastAsia"/>
                <w:kern w:val="0"/>
                <w:sz w:val="18"/>
                <w:szCs w:val="18"/>
              </w:rPr>
              <w:t>Fulangte</w:t>
            </w:r>
            <w:proofErr w:type="spellEnd"/>
            <w:r>
              <w:rPr>
                <w:rFonts w:ascii="Times New Roman" w:eastAsia="宋体" w:hAnsi="Times New Roman" w:cs="Times New Roman" w:hint="eastAsia"/>
                <w:kern w:val="0"/>
                <w:sz w:val="18"/>
                <w:szCs w:val="18"/>
              </w:rPr>
              <w:t xml:space="preserve"> New Technology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279.72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192.02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Shuangdeng</w:t>
            </w:r>
            <w:proofErr w:type="spellEnd"/>
            <w:r>
              <w:rPr>
                <w:rFonts w:ascii="Times New Roman" w:eastAsia="宋体" w:hAnsi="Times New Roman" w:cs="Times New Roman" w:hint="eastAsia"/>
                <w:kern w:val="0"/>
                <w:sz w:val="18"/>
                <w:szCs w:val="18"/>
              </w:rPr>
              <w:t xml:space="preserve"> Power Technology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18,390.81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Zhoudongyang</w:t>
            </w:r>
            <w:proofErr w:type="spellEnd"/>
            <w:r>
              <w:rPr>
                <w:rFonts w:ascii="Times New Roman" w:eastAsia="宋体" w:hAnsi="Times New Roman" w:cs="Times New Roman" w:hint="eastAsia"/>
                <w:kern w:val="0"/>
                <w:sz w:val="18"/>
                <w:szCs w:val="18"/>
              </w:rPr>
              <w:t xml:space="preserve"> Agricultural Products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579.27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Richu</w:t>
            </w:r>
            <w:proofErr w:type="spellEnd"/>
            <w:r>
              <w:rPr>
                <w:rFonts w:ascii="Times New Roman" w:eastAsia="宋体" w:hAnsi="Times New Roman" w:cs="Times New Roman" w:hint="eastAsia"/>
                <w:kern w:val="0"/>
                <w:sz w:val="18"/>
                <w:szCs w:val="18"/>
              </w:rPr>
              <w:t xml:space="preserve"> Chemical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273.13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967.83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Minxing</w:t>
            </w:r>
            <w:proofErr w:type="spellEnd"/>
            <w:r>
              <w:rPr>
                <w:rFonts w:ascii="Times New Roman" w:eastAsia="宋体" w:hAnsi="Times New Roman" w:cs="Times New Roman" w:hint="eastAsia"/>
                <w:kern w:val="0"/>
                <w:sz w:val="18"/>
                <w:szCs w:val="18"/>
              </w:rPr>
              <w:t xml:space="preserve"> Construction Materials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369.94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1,113.80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Jiangsu Green Forest Landscape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1,589.79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236.82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Jingdian</w:t>
            </w:r>
            <w:proofErr w:type="spellEnd"/>
            <w:r>
              <w:rPr>
                <w:rFonts w:ascii="Times New Roman" w:eastAsia="宋体" w:hAnsi="Times New Roman" w:cs="Times New Roman" w:hint="eastAsia"/>
                <w:kern w:val="0"/>
                <w:sz w:val="18"/>
                <w:szCs w:val="18"/>
              </w:rPr>
              <w:t xml:space="preserve"> Trading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156.24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123.94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Huada</w:t>
            </w:r>
            <w:proofErr w:type="spellEnd"/>
            <w:r>
              <w:rPr>
                <w:rFonts w:ascii="Times New Roman" w:eastAsia="宋体" w:hAnsi="Times New Roman" w:cs="Times New Roman" w:hint="eastAsia"/>
                <w:kern w:val="0"/>
                <w:sz w:val="18"/>
                <w:szCs w:val="18"/>
              </w:rPr>
              <w:t xml:space="preserve"> Textile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5,033.78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8,485.11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Haifu</w:t>
            </w:r>
            <w:proofErr w:type="spellEnd"/>
            <w:r>
              <w:rPr>
                <w:rFonts w:ascii="Times New Roman" w:eastAsia="宋体" w:hAnsi="Times New Roman" w:cs="Times New Roman" w:hint="eastAsia"/>
                <w:kern w:val="0"/>
                <w:sz w:val="18"/>
                <w:szCs w:val="18"/>
              </w:rPr>
              <w:t xml:space="preserve"> Investment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794.77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Fuda</w:t>
            </w:r>
            <w:proofErr w:type="spellEnd"/>
            <w:r>
              <w:rPr>
                <w:rFonts w:ascii="Times New Roman" w:eastAsia="宋体" w:hAnsi="Times New Roman" w:cs="Times New Roman" w:hint="eastAsia"/>
                <w:kern w:val="0"/>
                <w:sz w:val="18"/>
                <w:szCs w:val="18"/>
              </w:rPr>
              <w:t xml:space="preserve"> Electronics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46,856.98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8,373.30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Fengda</w:t>
            </w:r>
            <w:proofErr w:type="spellEnd"/>
            <w:r>
              <w:rPr>
                <w:rFonts w:ascii="Times New Roman" w:eastAsia="宋体" w:hAnsi="Times New Roman" w:cs="Times New Roman" w:hint="eastAsia"/>
                <w:kern w:val="0"/>
                <w:sz w:val="18"/>
                <w:szCs w:val="18"/>
              </w:rPr>
              <w:t xml:space="preserve"> Import and Export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11,412.32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15,462.64 </w:t>
            </w:r>
          </w:p>
        </w:tc>
      </w:tr>
      <w:tr w:rsidR="000B609E" w:rsidTr="004F7CA9">
        <w:trPr>
          <w:trHeight w:hRule="exact" w:val="575"/>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Fengda</w:t>
            </w:r>
            <w:proofErr w:type="spellEnd"/>
            <w:r>
              <w:rPr>
                <w:rFonts w:ascii="Times New Roman" w:eastAsia="宋体" w:hAnsi="Times New Roman" w:cs="Times New Roman" w:hint="eastAsia"/>
                <w:kern w:val="0"/>
                <w:sz w:val="18"/>
                <w:szCs w:val="18"/>
              </w:rPr>
              <w:t xml:space="preserve"> Textile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2,258.94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1,721.12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Dajun</w:t>
            </w:r>
            <w:proofErr w:type="spellEnd"/>
            <w:r>
              <w:rPr>
                <w:rFonts w:ascii="Times New Roman" w:eastAsia="宋体" w:hAnsi="Times New Roman" w:cs="Times New Roman" w:hint="eastAsia"/>
                <w:kern w:val="0"/>
                <w:sz w:val="18"/>
                <w:szCs w:val="18"/>
              </w:rPr>
              <w:t xml:space="preserve"> Group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418.34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119.27 </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Pengxin</w:t>
            </w:r>
            <w:proofErr w:type="spellEnd"/>
            <w:r>
              <w:rPr>
                <w:rFonts w:ascii="Times New Roman" w:eastAsia="宋体" w:hAnsi="Times New Roman" w:cs="Times New Roman" w:hint="eastAsia"/>
                <w:kern w:val="0"/>
                <w:sz w:val="18"/>
                <w:szCs w:val="18"/>
              </w:rPr>
              <w:t xml:space="preserve"> Real Estate Management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133.29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w:t>
            </w:r>
          </w:p>
        </w:tc>
      </w:tr>
      <w:tr w:rsidR="000B609E" w:rsidTr="004F7CA9">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Pengxin</w:t>
            </w:r>
            <w:proofErr w:type="spellEnd"/>
            <w:r>
              <w:rPr>
                <w:rFonts w:ascii="Times New Roman" w:eastAsia="宋体" w:hAnsi="Times New Roman" w:cs="Times New Roman" w:hint="eastAsia"/>
                <w:kern w:val="0"/>
                <w:sz w:val="18"/>
                <w:szCs w:val="18"/>
              </w:rPr>
              <w:t xml:space="preserve"> Real Estate Development Co., Ltd.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230.43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w:t>
            </w:r>
          </w:p>
        </w:tc>
      </w:tr>
      <w:tr w:rsidR="000B609E">
        <w:trPr>
          <w:trHeight w:hRule="exact" w:val="454"/>
        </w:trPr>
        <w:tc>
          <w:tcPr>
            <w:tcW w:w="5628" w:type="dxa"/>
            <w:vAlign w:val="center"/>
          </w:tcPr>
          <w:p w:rsidR="000B609E" w:rsidRDefault="00B220E1">
            <w:pPr>
              <w:spacing w:afterLines="0" w:after="0"/>
              <w:ind w:firstLineChars="600" w:firstLine="1084"/>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986" w:type="dxa"/>
            <w:vAlign w:val="center"/>
          </w:tcPr>
          <w:p w:rsidR="000B609E" w:rsidRPr="004B24DA" w:rsidRDefault="00B220E1">
            <w:pPr>
              <w:spacing w:afterLines="0" w:after="0"/>
              <w:ind w:firstLine="402"/>
              <w:jc w:val="right"/>
              <w:textAlignment w:val="top"/>
              <w:rPr>
                <w:rFonts w:ascii="Arial Narrow" w:hAnsi="Arial Narrow" w:cs="Calibri"/>
                <w:b/>
                <w:bCs/>
                <w:sz w:val="20"/>
              </w:rPr>
            </w:pPr>
            <w:r w:rsidRPr="004B24DA">
              <w:rPr>
                <w:rFonts w:ascii="Arial Narrow" w:hAnsi="Arial Narrow" w:cs="Calibri"/>
                <w:b/>
                <w:bCs/>
                <w:sz w:val="20"/>
              </w:rPr>
              <w:t>119,081.84</w:t>
            </w:r>
          </w:p>
        </w:tc>
        <w:tc>
          <w:tcPr>
            <w:tcW w:w="1986" w:type="dxa"/>
            <w:vAlign w:val="center"/>
          </w:tcPr>
          <w:p w:rsidR="000B609E" w:rsidRPr="004B24DA" w:rsidRDefault="00B220E1">
            <w:pPr>
              <w:spacing w:afterLines="0" w:after="0"/>
              <w:ind w:firstLine="402"/>
              <w:jc w:val="right"/>
              <w:textAlignment w:val="top"/>
              <w:rPr>
                <w:rFonts w:ascii="Arial Narrow" w:hAnsi="Arial Narrow" w:cs="Calibri"/>
                <w:b/>
                <w:bCs/>
                <w:sz w:val="20"/>
              </w:rPr>
            </w:pPr>
            <w:r w:rsidRPr="004B24DA">
              <w:rPr>
                <w:rFonts w:ascii="Arial Narrow" w:hAnsi="Arial Narrow" w:cs="Calibri" w:hint="eastAsia"/>
                <w:b/>
                <w:bCs/>
                <w:sz w:val="20"/>
              </w:rPr>
              <w:t xml:space="preserve"> 160,171.13 </w:t>
            </w:r>
          </w:p>
        </w:tc>
      </w:tr>
    </w:tbl>
    <w:p w:rsidR="000B609E" w:rsidRDefault="00B220E1">
      <w:pPr>
        <w:pStyle w:val="11"/>
        <w:numPr>
          <w:ilvl w:val="0"/>
          <w:numId w:val="39"/>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hint="eastAsia"/>
          <w:sz w:val="24"/>
          <w:szCs w:val="24"/>
        </w:rPr>
        <w:t>elated-</w:t>
      </w:r>
      <w:proofErr w:type="gramStart"/>
      <w:r>
        <w:rPr>
          <w:rFonts w:ascii="Times New Roman" w:hAnsi="Times New Roman" w:cs="Times New Roman" w:hint="eastAsia"/>
          <w:sz w:val="24"/>
          <w:szCs w:val="24"/>
        </w:rPr>
        <w:t>parties</w:t>
      </w:r>
      <w:proofErr w:type="gramEnd"/>
      <w:r>
        <w:rPr>
          <w:rFonts w:ascii="Times New Roman" w:hAnsi="Times New Roman" w:cs="Times New Roman" w:hint="eastAsia"/>
          <w:sz w:val="24"/>
          <w:szCs w:val="24"/>
        </w:rPr>
        <w:t xml:space="preserve"> transactions with key management personnel</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K</w:t>
      </w:r>
      <w:r>
        <w:rPr>
          <w:rFonts w:ascii="Times New Roman" w:hAnsi="Times New Roman" w:cs="Times New Roman"/>
          <w:sz w:val="24"/>
          <w:szCs w:val="24"/>
        </w:rPr>
        <w:t xml:space="preserve">ey management personnel of the Company </w:t>
      </w:r>
      <w:r>
        <w:rPr>
          <w:rFonts w:ascii="Times New Roman" w:hAnsi="Times New Roman" w:cs="Times New Roman" w:hint="eastAsia"/>
          <w:sz w:val="24"/>
          <w:szCs w:val="24"/>
        </w:rPr>
        <w:t>are</w:t>
      </w:r>
      <w:r>
        <w:rPr>
          <w:rFonts w:ascii="Times New Roman" w:hAnsi="Times New Roman" w:cs="Times New Roman"/>
          <w:sz w:val="24"/>
          <w:szCs w:val="24"/>
        </w:rPr>
        <w:t xml:space="preserve"> directors, supervisors and senior management personnel</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Transactions between the Group and its key management </w:t>
      </w:r>
      <w:r>
        <w:rPr>
          <w:rFonts w:ascii="Times New Roman" w:hAnsi="Times New Roman" w:cs="Times New Roman"/>
          <w:sz w:val="24"/>
          <w:szCs w:val="24"/>
        </w:rPr>
        <w:lastRenderedPageBreak/>
        <w:t>personnel are conducted under normal commercial terms. During 20</w:t>
      </w:r>
      <w:r>
        <w:rPr>
          <w:rFonts w:ascii="Times New Roman" w:hAnsi="Times New Roman" w:cs="Times New Roman" w:hint="eastAsia"/>
          <w:sz w:val="24"/>
          <w:szCs w:val="24"/>
        </w:rPr>
        <w:t>20</w:t>
      </w:r>
      <w:r>
        <w:rPr>
          <w:rFonts w:ascii="Times New Roman" w:hAnsi="Times New Roman" w:cs="Times New Roman"/>
          <w:sz w:val="24"/>
          <w:szCs w:val="24"/>
        </w:rPr>
        <w:t>, individual and aggregated amount of transactions with key management personnel are not significant.</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The </w:t>
      </w:r>
      <w:r>
        <w:rPr>
          <w:rFonts w:ascii="Times New Roman" w:hAnsi="Times New Roman" w:cs="Times New Roman" w:hint="eastAsia"/>
          <w:sz w:val="24"/>
          <w:szCs w:val="24"/>
        </w:rPr>
        <w:t>compensation</w:t>
      </w:r>
      <w:r>
        <w:rPr>
          <w:rFonts w:ascii="Times New Roman" w:hAnsi="Times New Roman" w:cs="Times New Roman"/>
          <w:sz w:val="24"/>
          <w:szCs w:val="24"/>
        </w:rPr>
        <w:t xml:space="preserve"> of the key management personnel of the Group for the current year will not have a significant impact on the financial statements of the </w:t>
      </w:r>
      <w:r>
        <w:rPr>
          <w:rFonts w:ascii="Times New Roman" w:hAnsi="Times New Roman" w:cs="Times New Roman" w:hint="eastAsia"/>
          <w:sz w:val="24"/>
          <w:szCs w:val="24"/>
        </w:rPr>
        <w:t>Group</w:t>
      </w:r>
      <w:r>
        <w:rPr>
          <w:rFonts w:ascii="Times New Roman" w:hAnsi="Times New Roman" w:cs="Times New Roman"/>
          <w:sz w:val="24"/>
          <w:szCs w:val="24"/>
        </w:rPr>
        <w:t>.</w:t>
      </w:r>
    </w:p>
    <w:p w:rsidR="000B609E" w:rsidRPr="004B24DA" w:rsidRDefault="00B220E1">
      <w:pPr>
        <w:pStyle w:val="11"/>
        <w:numPr>
          <w:ilvl w:val="0"/>
          <w:numId w:val="38"/>
        </w:numPr>
        <w:spacing w:after="156" w:line="360" w:lineRule="auto"/>
        <w:ind w:firstLineChars="0"/>
        <w:rPr>
          <w:rFonts w:ascii="Times New Roman" w:hAnsi="Times New Roman" w:cs="Times New Roman"/>
          <w:b/>
          <w:bCs/>
          <w:sz w:val="24"/>
          <w:szCs w:val="24"/>
        </w:rPr>
      </w:pPr>
      <w:r w:rsidRPr="004B24DA">
        <w:rPr>
          <w:rFonts w:ascii="Times New Roman" w:hAnsi="Times New Roman" w:cs="Times New Roman" w:hint="eastAsia"/>
          <w:b/>
          <w:bCs/>
          <w:sz w:val="24"/>
          <w:szCs w:val="24"/>
        </w:rPr>
        <w:t>B</w:t>
      </w:r>
      <w:r w:rsidRPr="004B24DA">
        <w:rPr>
          <w:rFonts w:ascii="Times New Roman" w:hAnsi="Times New Roman" w:cs="Times New Roman"/>
          <w:b/>
          <w:bCs/>
          <w:sz w:val="24"/>
          <w:szCs w:val="24"/>
        </w:rPr>
        <w:t>alances with related parties</w:t>
      </w:r>
    </w:p>
    <w:p w:rsidR="000B609E" w:rsidRDefault="00B220E1">
      <w:pPr>
        <w:pStyle w:val="11"/>
        <w:numPr>
          <w:ilvl w:val="0"/>
          <w:numId w:val="40"/>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L</w:t>
      </w:r>
      <w:r>
        <w:rPr>
          <w:rFonts w:ascii="Times New Roman" w:hAnsi="Times New Roman" w:cs="Times New Roman" w:hint="eastAsia"/>
          <w:sz w:val="24"/>
          <w:szCs w:val="24"/>
        </w:rPr>
        <w:t>oans and advances</w:t>
      </w:r>
    </w:p>
    <w:tbl>
      <w:tblPr>
        <w:tblW w:w="9600" w:type="dxa"/>
        <w:tblInd w:w="-544"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5628"/>
        <w:gridCol w:w="1986"/>
        <w:gridCol w:w="1986"/>
      </w:tblGrid>
      <w:tr w:rsidR="000B609E">
        <w:trPr>
          <w:trHeight w:val="300"/>
          <w:tblHeader/>
        </w:trPr>
        <w:tc>
          <w:tcPr>
            <w:tcW w:w="5628" w:type="dxa"/>
            <w:shd w:val="clear" w:color="auto" w:fill="auto"/>
            <w:vAlign w:val="center"/>
          </w:tcPr>
          <w:p w:rsidR="000B609E" w:rsidRDefault="00B220E1">
            <w:pPr>
              <w:spacing w:afterLines="0" w:after="0"/>
              <w:ind w:firstLine="361"/>
              <w:jc w:val="center"/>
              <w:rPr>
                <w:rFonts w:ascii="宋体" w:hAnsi="宋体" w:cs="宋体"/>
                <w:b/>
                <w:color w:val="000000"/>
              </w:rPr>
            </w:pPr>
            <w:r>
              <w:rPr>
                <w:rFonts w:ascii="Times New Roman" w:eastAsia="宋体" w:hAnsi="Times New Roman" w:cs="Times New Roman"/>
                <w:b/>
                <w:color w:val="000000"/>
                <w:kern w:val="0"/>
                <w:sz w:val="18"/>
                <w:szCs w:val="18"/>
              </w:rPr>
              <w:t>Name of related parties</w:t>
            </w:r>
          </w:p>
        </w:tc>
        <w:tc>
          <w:tcPr>
            <w:tcW w:w="1986" w:type="dxa"/>
            <w:shd w:val="clear" w:color="auto" w:fill="auto"/>
            <w:vAlign w:val="center"/>
          </w:tcPr>
          <w:p w:rsidR="000B609E" w:rsidRDefault="00B220E1">
            <w:pPr>
              <w:spacing w:afterLines="0" w:after="0"/>
              <w:ind w:firstLine="361"/>
              <w:jc w:val="center"/>
              <w:rPr>
                <w:rFonts w:ascii="宋体" w:hAnsi="宋体" w:cs="宋体"/>
                <w:b/>
                <w:color w:val="000000"/>
              </w:rPr>
            </w:pPr>
            <w:r>
              <w:rPr>
                <w:rFonts w:ascii="Times New Roman" w:eastAsia="宋体" w:hAnsi="Times New Roman" w:cs="Times New Roman"/>
                <w:b/>
                <w:color w:val="000000"/>
                <w:kern w:val="0"/>
                <w:sz w:val="18"/>
                <w:szCs w:val="18"/>
              </w:rPr>
              <w:t>20</w:t>
            </w:r>
            <w:r>
              <w:rPr>
                <w:rFonts w:ascii="Times New Roman" w:eastAsia="宋体" w:hAnsi="Times New Roman" w:cs="Times New Roman" w:hint="eastAsia"/>
                <w:b/>
                <w:color w:val="000000"/>
                <w:kern w:val="0"/>
                <w:sz w:val="18"/>
                <w:szCs w:val="18"/>
              </w:rPr>
              <w:t>20</w:t>
            </w:r>
            <w:r>
              <w:rPr>
                <w:rFonts w:ascii="Times New Roman" w:eastAsia="宋体" w:hAnsi="Times New Roman" w:cs="Times New Roman"/>
                <w:b/>
                <w:color w:val="000000"/>
                <w:kern w:val="0"/>
                <w:sz w:val="18"/>
                <w:szCs w:val="18"/>
              </w:rPr>
              <w:t>-12-31</w:t>
            </w:r>
          </w:p>
        </w:tc>
        <w:tc>
          <w:tcPr>
            <w:tcW w:w="1986" w:type="dxa"/>
            <w:shd w:val="clear" w:color="auto" w:fill="auto"/>
            <w:vAlign w:val="center"/>
          </w:tcPr>
          <w:p w:rsidR="000B609E" w:rsidRDefault="00B220E1">
            <w:pPr>
              <w:spacing w:afterLines="0" w:after="0"/>
              <w:ind w:firstLine="361"/>
              <w:jc w:val="center"/>
              <w:rPr>
                <w:rFonts w:ascii="Times New Roman" w:eastAsia="宋体" w:hAnsi="Times New Roman" w:cs="Times New Roman"/>
                <w:b/>
                <w:color w:val="000000"/>
                <w:kern w:val="0"/>
                <w:sz w:val="18"/>
                <w:szCs w:val="18"/>
              </w:rPr>
            </w:pPr>
            <w:r>
              <w:rPr>
                <w:rFonts w:ascii="Times New Roman" w:eastAsia="宋体" w:hAnsi="Times New Roman" w:cs="Times New Roman" w:hint="eastAsia"/>
                <w:b/>
                <w:color w:val="000000"/>
                <w:kern w:val="0"/>
                <w:sz w:val="18"/>
                <w:szCs w:val="18"/>
              </w:rPr>
              <w:t>2019-12-31</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Wanxin</w:t>
            </w:r>
            <w:proofErr w:type="spellEnd"/>
            <w:r>
              <w:rPr>
                <w:rFonts w:ascii="Times New Roman" w:eastAsia="宋体" w:hAnsi="Times New Roman" w:cs="Times New Roman" w:hint="eastAsia"/>
                <w:kern w:val="0"/>
                <w:sz w:val="18"/>
                <w:szCs w:val="18"/>
              </w:rPr>
              <w:t xml:space="preserve"> Tungsten Molybdenum Products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127,897,373.29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105,918,260.43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Taizhou Jindong Appliance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20,000,000.00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20,000,000.00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Jiaxin</w:t>
            </w:r>
            <w:proofErr w:type="spellEnd"/>
            <w:r>
              <w:rPr>
                <w:rFonts w:ascii="Times New Roman" w:eastAsia="宋体" w:hAnsi="Times New Roman" w:cs="Times New Roman" w:hint="eastAsia"/>
                <w:kern w:val="0"/>
                <w:sz w:val="18"/>
                <w:szCs w:val="18"/>
              </w:rPr>
              <w:t xml:space="preserve"> Architectural Decoration Engineering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35,000,000.00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40,000,000.00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Dongfang</w:t>
            </w:r>
            <w:proofErr w:type="spellEnd"/>
            <w:r>
              <w:rPr>
                <w:rFonts w:ascii="Times New Roman" w:eastAsia="宋体" w:hAnsi="Times New Roman" w:cs="Times New Roman" w:hint="eastAsia"/>
                <w:kern w:val="0"/>
                <w:sz w:val="18"/>
                <w:szCs w:val="18"/>
              </w:rPr>
              <w:t xml:space="preserve"> Special Chemical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16,500,000.00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Taizhou Textile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40,000,000.00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59,788,865.34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Jinchen</w:t>
            </w:r>
            <w:proofErr w:type="spellEnd"/>
            <w:r>
              <w:rPr>
                <w:rFonts w:ascii="Times New Roman" w:eastAsia="宋体" w:hAnsi="Times New Roman" w:cs="Times New Roman" w:hint="eastAsia"/>
                <w:kern w:val="0"/>
                <w:sz w:val="18"/>
                <w:szCs w:val="18"/>
              </w:rPr>
              <w:t xml:space="preserve"> Trading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15,000,000.00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15,000,000.00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Jinchen</w:t>
            </w:r>
            <w:proofErr w:type="spellEnd"/>
            <w:r>
              <w:rPr>
                <w:rFonts w:ascii="Times New Roman" w:eastAsia="宋体" w:hAnsi="Times New Roman" w:cs="Times New Roman" w:hint="eastAsia"/>
                <w:kern w:val="0"/>
                <w:sz w:val="18"/>
                <w:szCs w:val="18"/>
              </w:rPr>
              <w:t xml:space="preserve"> Group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77,000,000.00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78,000,000.00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Zhengxing</w:t>
            </w:r>
            <w:proofErr w:type="spellEnd"/>
            <w:r>
              <w:rPr>
                <w:rFonts w:ascii="Times New Roman" w:eastAsia="宋体" w:hAnsi="Times New Roman" w:cs="Times New Roman" w:hint="eastAsia"/>
                <w:kern w:val="0"/>
                <w:sz w:val="18"/>
                <w:szCs w:val="18"/>
              </w:rPr>
              <w:t xml:space="preserve"> Construction &amp; Engineering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24,500,000.00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25,500,000.00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Zhengfei</w:t>
            </w:r>
            <w:proofErr w:type="spellEnd"/>
            <w:r>
              <w:rPr>
                <w:rFonts w:ascii="Times New Roman" w:eastAsia="宋体" w:hAnsi="Times New Roman" w:cs="Times New Roman" w:hint="eastAsia"/>
                <w:kern w:val="0"/>
                <w:sz w:val="18"/>
                <w:szCs w:val="18"/>
              </w:rPr>
              <w:t xml:space="preserve"> Construction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163,000,000.00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163,000,000.00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Zhengda</w:t>
            </w:r>
            <w:proofErr w:type="spellEnd"/>
            <w:r>
              <w:rPr>
                <w:rFonts w:ascii="Times New Roman" w:eastAsia="宋体" w:hAnsi="Times New Roman" w:cs="Times New Roman" w:hint="eastAsia"/>
                <w:kern w:val="0"/>
                <w:sz w:val="18"/>
                <w:szCs w:val="18"/>
              </w:rPr>
              <w:t xml:space="preserve"> Textile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27,000,000.00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27,000,000.00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Yaguang</w:t>
            </w:r>
            <w:proofErr w:type="spellEnd"/>
            <w:r>
              <w:rPr>
                <w:rFonts w:ascii="Times New Roman" w:eastAsia="宋体" w:hAnsi="Times New Roman" w:cs="Times New Roman" w:hint="eastAsia"/>
                <w:kern w:val="0"/>
                <w:sz w:val="18"/>
                <w:szCs w:val="18"/>
              </w:rPr>
              <w:t xml:space="preserve"> Metal Products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21,000,000.00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22,000,000.00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Xincheng</w:t>
            </w:r>
            <w:proofErr w:type="spellEnd"/>
            <w:r>
              <w:rPr>
                <w:rFonts w:ascii="Times New Roman" w:eastAsia="宋体" w:hAnsi="Times New Roman" w:cs="Times New Roman" w:hint="eastAsia"/>
                <w:kern w:val="0"/>
                <w:sz w:val="18"/>
                <w:szCs w:val="18"/>
              </w:rPr>
              <w:t xml:space="preserve"> Electronics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33,748,674.56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29,002,899.06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proofErr w:type="gramStart"/>
            <w:r>
              <w:rPr>
                <w:rFonts w:ascii="Times New Roman" w:eastAsia="宋体" w:hAnsi="Times New Roman" w:cs="Times New Roman" w:hint="eastAsia"/>
                <w:kern w:val="0"/>
                <w:sz w:val="18"/>
                <w:szCs w:val="18"/>
              </w:rPr>
              <w:t>Taida</w:t>
            </w:r>
            <w:proofErr w:type="spellEnd"/>
            <w:r>
              <w:rPr>
                <w:rFonts w:ascii="Times New Roman" w:eastAsia="宋体" w:hAnsi="Times New Roman" w:cs="Times New Roman" w:hint="eastAsia"/>
                <w:kern w:val="0"/>
                <w:sz w:val="18"/>
                <w:szCs w:val="18"/>
              </w:rPr>
              <w:t xml:space="preserve">  Holding</w:t>
            </w:r>
            <w:proofErr w:type="gramEnd"/>
            <w:r>
              <w:rPr>
                <w:rFonts w:ascii="Times New Roman" w:eastAsia="宋体" w:hAnsi="Times New Roman" w:cs="Times New Roman" w:hint="eastAsia"/>
                <w:kern w:val="0"/>
                <w:sz w:val="18"/>
                <w:szCs w:val="18"/>
              </w:rPr>
              <w:t xml:space="preserve"> Group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40,000,000.00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13,341,368.91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Shuangdeng</w:t>
            </w:r>
            <w:proofErr w:type="spellEnd"/>
            <w:r>
              <w:rPr>
                <w:rFonts w:ascii="Times New Roman" w:eastAsia="宋体" w:hAnsi="Times New Roman" w:cs="Times New Roman" w:hint="eastAsia"/>
                <w:kern w:val="0"/>
                <w:sz w:val="18"/>
                <w:szCs w:val="18"/>
              </w:rPr>
              <w:t xml:space="preserve"> </w:t>
            </w:r>
            <w:proofErr w:type="spellStart"/>
            <w:r>
              <w:rPr>
                <w:rFonts w:ascii="Times New Roman" w:eastAsia="宋体" w:hAnsi="Times New Roman" w:cs="Times New Roman" w:hint="eastAsia"/>
                <w:kern w:val="0"/>
                <w:sz w:val="18"/>
                <w:szCs w:val="18"/>
              </w:rPr>
              <w:t>Fulangte</w:t>
            </w:r>
            <w:proofErr w:type="spellEnd"/>
            <w:r>
              <w:rPr>
                <w:rFonts w:ascii="Times New Roman" w:eastAsia="宋体" w:hAnsi="Times New Roman" w:cs="Times New Roman" w:hint="eastAsia"/>
                <w:kern w:val="0"/>
                <w:sz w:val="18"/>
                <w:szCs w:val="18"/>
              </w:rPr>
              <w:t xml:space="preserve"> New Technology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10,000,000.00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10,000,000.00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Shuangdeng</w:t>
            </w:r>
            <w:proofErr w:type="spellEnd"/>
            <w:r>
              <w:rPr>
                <w:rFonts w:ascii="Times New Roman" w:eastAsia="宋体" w:hAnsi="Times New Roman" w:cs="Times New Roman" w:hint="eastAsia"/>
                <w:kern w:val="0"/>
                <w:sz w:val="18"/>
                <w:szCs w:val="18"/>
              </w:rPr>
              <w:t xml:space="preserve"> Power Technology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8,831,897.46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118,204,368.20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Richu</w:t>
            </w:r>
            <w:proofErr w:type="spellEnd"/>
            <w:r>
              <w:rPr>
                <w:rFonts w:ascii="Times New Roman" w:eastAsia="宋体" w:hAnsi="Times New Roman" w:cs="Times New Roman" w:hint="eastAsia"/>
                <w:kern w:val="0"/>
                <w:sz w:val="18"/>
                <w:szCs w:val="18"/>
              </w:rPr>
              <w:t xml:space="preserve"> Chemical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10,000,000.00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10,000,000.00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Minxing</w:t>
            </w:r>
            <w:proofErr w:type="spellEnd"/>
            <w:r>
              <w:rPr>
                <w:rFonts w:ascii="Times New Roman" w:eastAsia="宋体" w:hAnsi="Times New Roman" w:cs="Times New Roman" w:hint="eastAsia"/>
                <w:kern w:val="0"/>
                <w:sz w:val="18"/>
                <w:szCs w:val="18"/>
              </w:rPr>
              <w:t xml:space="preserve"> Construction Materials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24,500,000.00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25,500,000.00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Jiangsu Green Forest Landscape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78,000,000.00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79,000,000.00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Jingdian</w:t>
            </w:r>
            <w:proofErr w:type="spellEnd"/>
            <w:r>
              <w:rPr>
                <w:rFonts w:ascii="Times New Roman" w:eastAsia="宋体" w:hAnsi="Times New Roman" w:cs="Times New Roman" w:hint="eastAsia"/>
                <w:kern w:val="0"/>
                <w:sz w:val="18"/>
                <w:szCs w:val="18"/>
              </w:rPr>
              <w:t xml:space="preserve"> Trading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20,000,000.00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20,000,000.00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Huada</w:t>
            </w:r>
            <w:proofErr w:type="spellEnd"/>
            <w:r>
              <w:rPr>
                <w:rFonts w:ascii="Times New Roman" w:eastAsia="宋体" w:hAnsi="Times New Roman" w:cs="Times New Roman" w:hint="eastAsia"/>
                <w:kern w:val="0"/>
                <w:sz w:val="18"/>
                <w:szCs w:val="18"/>
              </w:rPr>
              <w:t xml:space="preserve"> Textile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66,097,472.00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58,000,000.00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Fuda</w:t>
            </w:r>
            <w:proofErr w:type="spellEnd"/>
            <w:r>
              <w:rPr>
                <w:rFonts w:ascii="Times New Roman" w:eastAsia="宋体" w:hAnsi="Times New Roman" w:cs="Times New Roman" w:hint="eastAsia"/>
                <w:kern w:val="0"/>
                <w:sz w:val="18"/>
                <w:szCs w:val="18"/>
              </w:rPr>
              <w:t xml:space="preserve"> Electronics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6,590,000.00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10,950,000.00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lastRenderedPageBreak/>
              <w:t xml:space="preserve">Jiangsu </w:t>
            </w:r>
            <w:proofErr w:type="spellStart"/>
            <w:r>
              <w:rPr>
                <w:rFonts w:ascii="Times New Roman" w:eastAsia="宋体" w:hAnsi="Times New Roman" w:cs="Times New Roman" w:hint="eastAsia"/>
                <w:kern w:val="0"/>
                <w:sz w:val="18"/>
                <w:szCs w:val="18"/>
              </w:rPr>
              <w:t>Fengda</w:t>
            </w:r>
            <w:proofErr w:type="spellEnd"/>
            <w:r>
              <w:rPr>
                <w:rFonts w:ascii="Times New Roman" w:eastAsia="宋体" w:hAnsi="Times New Roman" w:cs="Times New Roman" w:hint="eastAsia"/>
                <w:kern w:val="0"/>
                <w:sz w:val="18"/>
                <w:szCs w:val="18"/>
              </w:rPr>
              <w:t xml:space="preserve"> Import and Export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74,100,000.00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25,000,000.00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Fengda</w:t>
            </w:r>
            <w:proofErr w:type="spellEnd"/>
            <w:r>
              <w:rPr>
                <w:rFonts w:ascii="Times New Roman" w:eastAsia="宋体" w:hAnsi="Times New Roman" w:cs="Times New Roman" w:hint="eastAsia"/>
                <w:kern w:val="0"/>
                <w:sz w:val="18"/>
                <w:szCs w:val="18"/>
              </w:rPr>
              <w:t xml:space="preserve"> Textile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22,000,000.00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28,050,000.00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Dajun</w:t>
            </w:r>
            <w:proofErr w:type="spellEnd"/>
            <w:r>
              <w:rPr>
                <w:rFonts w:ascii="Times New Roman" w:eastAsia="宋体" w:hAnsi="Times New Roman" w:cs="Times New Roman" w:hint="eastAsia"/>
                <w:kern w:val="0"/>
                <w:sz w:val="18"/>
                <w:szCs w:val="18"/>
              </w:rPr>
              <w:t xml:space="preserve"> Group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59,900,000.00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59,950,000.00 </w:t>
            </w:r>
          </w:p>
        </w:tc>
      </w:tr>
      <w:tr w:rsidR="000B609E">
        <w:trPr>
          <w:trHeight w:hRule="exact" w:val="454"/>
        </w:trPr>
        <w:tc>
          <w:tcPr>
            <w:tcW w:w="5628"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Taida</w:t>
            </w:r>
            <w:proofErr w:type="spellEnd"/>
            <w:r>
              <w:rPr>
                <w:rFonts w:ascii="Times New Roman" w:eastAsia="宋体" w:hAnsi="Times New Roman" w:cs="Times New Roman" w:hint="eastAsia"/>
                <w:kern w:val="0"/>
                <w:sz w:val="18"/>
                <w:szCs w:val="18"/>
              </w:rPr>
              <w:t xml:space="preserve"> Textile Co., Ltd.</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 xml:space="preserve"> 11,555,375.00 </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r>
      <w:tr w:rsidR="000B609E" w:rsidTr="004B24DA">
        <w:trPr>
          <w:trHeight w:hRule="exact" w:val="422"/>
        </w:trPr>
        <w:tc>
          <w:tcPr>
            <w:tcW w:w="5628" w:type="dxa"/>
            <w:vAlign w:val="center"/>
          </w:tcPr>
          <w:p w:rsidR="000B609E" w:rsidRDefault="00B220E1">
            <w:pPr>
              <w:spacing w:afterLines="0" w:after="0"/>
              <w:ind w:firstLineChars="600" w:firstLine="1084"/>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986" w:type="dxa"/>
            <w:vAlign w:val="center"/>
          </w:tcPr>
          <w:p w:rsidR="000B609E" w:rsidRPr="004F7CA9" w:rsidRDefault="00B220E1" w:rsidP="004F7CA9">
            <w:pPr>
              <w:spacing w:after="156" w:line="360" w:lineRule="auto"/>
              <w:ind w:firstLineChars="0" w:firstLine="0"/>
              <w:jc w:val="right"/>
              <w:rPr>
                <w:rFonts w:ascii="Arial Narrow" w:hAnsi="Arial Narrow" w:cs="Calibri"/>
                <w:b/>
                <w:sz w:val="20"/>
                <w:szCs w:val="20"/>
              </w:rPr>
            </w:pPr>
            <w:r w:rsidRPr="004F7CA9">
              <w:rPr>
                <w:rFonts w:ascii="Arial Narrow" w:hAnsi="Arial Narrow" w:cs="Calibri"/>
                <w:b/>
                <w:sz w:val="20"/>
                <w:szCs w:val="20"/>
              </w:rPr>
              <w:t xml:space="preserve"> 1,015,720,792.31 </w:t>
            </w:r>
          </w:p>
        </w:tc>
        <w:tc>
          <w:tcPr>
            <w:tcW w:w="1986" w:type="dxa"/>
            <w:vAlign w:val="center"/>
          </w:tcPr>
          <w:p w:rsidR="000B609E" w:rsidRPr="004F7CA9" w:rsidRDefault="00B220E1" w:rsidP="004F7CA9">
            <w:pPr>
              <w:spacing w:after="156" w:line="360" w:lineRule="auto"/>
              <w:ind w:firstLine="402"/>
              <w:jc w:val="right"/>
              <w:rPr>
                <w:rFonts w:ascii="Arial Narrow" w:hAnsi="Arial Narrow" w:cs="Calibri"/>
                <w:b/>
                <w:sz w:val="20"/>
                <w:szCs w:val="20"/>
              </w:rPr>
            </w:pPr>
            <w:r w:rsidRPr="004F7CA9">
              <w:rPr>
                <w:rFonts w:ascii="Arial Narrow" w:hAnsi="Arial Narrow" w:cs="Calibri" w:hint="eastAsia"/>
                <w:b/>
                <w:sz w:val="20"/>
                <w:szCs w:val="20"/>
              </w:rPr>
              <w:t xml:space="preserve">1,059,705,761.94 </w:t>
            </w:r>
          </w:p>
        </w:tc>
      </w:tr>
    </w:tbl>
    <w:p w:rsidR="000B609E" w:rsidRDefault="00B220E1">
      <w:pPr>
        <w:pStyle w:val="11"/>
        <w:numPr>
          <w:ilvl w:val="0"/>
          <w:numId w:val="40"/>
        </w:numPr>
        <w:spacing w:beforeLines="50" w:before="156" w:after="156" w:line="360" w:lineRule="auto"/>
        <w:ind w:left="0" w:firstLine="480"/>
        <w:rPr>
          <w:rFonts w:ascii="Times New Roman" w:hAnsi="Times New Roman" w:cs="Times New Roman"/>
          <w:sz w:val="24"/>
          <w:szCs w:val="24"/>
        </w:rPr>
      </w:pPr>
      <w:r>
        <w:rPr>
          <w:rFonts w:ascii="Times New Roman" w:hAnsi="Times New Roman" w:cs="Times New Roman" w:hint="eastAsia"/>
          <w:sz w:val="24"/>
          <w:szCs w:val="24"/>
        </w:rPr>
        <w:t>Deposits</w:t>
      </w:r>
    </w:p>
    <w:tbl>
      <w:tblPr>
        <w:tblW w:w="9504" w:type="dxa"/>
        <w:tblInd w:w="-459"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5544"/>
        <w:gridCol w:w="1980"/>
        <w:gridCol w:w="1980"/>
      </w:tblGrid>
      <w:tr w:rsidR="000B609E">
        <w:trPr>
          <w:trHeight w:val="300"/>
          <w:tblHeader/>
        </w:trPr>
        <w:tc>
          <w:tcPr>
            <w:tcW w:w="5544" w:type="dxa"/>
            <w:shd w:val="clear" w:color="auto" w:fill="auto"/>
            <w:vAlign w:val="bottom"/>
          </w:tcPr>
          <w:p w:rsidR="000B609E" w:rsidRDefault="00B220E1">
            <w:pPr>
              <w:spacing w:afterLines="0" w:after="0"/>
              <w:ind w:firstLine="361"/>
              <w:jc w:val="center"/>
              <w:rPr>
                <w:rFonts w:ascii="宋体" w:hAnsi="宋体" w:cs="宋体"/>
                <w:b/>
                <w:color w:val="000000"/>
              </w:rPr>
            </w:pPr>
            <w:r>
              <w:rPr>
                <w:rFonts w:ascii="Times New Roman" w:eastAsia="宋体" w:hAnsi="Times New Roman" w:cs="Times New Roman"/>
                <w:b/>
                <w:color w:val="000000"/>
                <w:kern w:val="0"/>
                <w:sz w:val="18"/>
                <w:szCs w:val="18"/>
              </w:rPr>
              <w:t>Name of related parties</w:t>
            </w:r>
          </w:p>
        </w:tc>
        <w:tc>
          <w:tcPr>
            <w:tcW w:w="1980" w:type="dxa"/>
            <w:shd w:val="clear" w:color="auto" w:fill="auto"/>
            <w:vAlign w:val="bottom"/>
          </w:tcPr>
          <w:p w:rsidR="000B609E" w:rsidRDefault="00B220E1">
            <w:pPr>
              <w:spacing w:afterLines="0" w:after="0"/>
              <w:ind w:firstLine="361"/>
              <w:jc w:val="center"/>
              <w:rPr>
                <w:rFonts w:ascii="宋体" w:hAnsi="宋体" w:cs="宋体"/>
                <w:b/>
                <w:color w:val="000000"/>
              </w:rPr>
            </w:pPr>
            <w:r>
              <w:rPr>
                <w:rFonts w:ascii="Times New Roman" w:eastAsia="宋体" w:hAnsi="Times New Roman" w:cs="Times New Roman"/>
                <w:b/>
                <w:color w:val="000000"/>
                <w:kern w:val="0"/>
                <w:sz w:val="18"/>
                <w:szCs w:val="18"/>
              </w:rPr>
              <w:t>20</w:t>
            </w:r>
            <w:r>
              <w:rPr>
                <w:rFonts w:ascii="Times New Roman" w:eastAsia="宋体" w:hAnsi="Times New Roman" w:cs="Times New Roman" w:hint="eastAsia"/>
                <w:b/>
                <w:color w:val="000000"/>
                <w:kern w:val="0"/>
                <w:sz w:val="18"/>
                <w:szCs w:val="18"/>
              </w:rPr>
              <w:t>20-12-31</w:t>
            </w:r>
          </w:p>
        </w:tc>
        <w:tc>
          <w:tcPr>
            <w:tcW w:w="1980" w:type="dxa"/>
            <w:shd w:val="clear" w:color="auto" w:fill="auto"/>
            <w:vAlign w:val="bottom"/>
          </w:tcPr>
          <w:p w:rsidR="000B609E" w:rsidRDefault="00B220E1">
            <w:pPr>
              <w:spacing w:afterLines="0" w:after="0"/>
              <w:ind w:firstLine="361"/>
              <w:jc w:val="center"/>
              <w:rPr>
                <w:rFonts w:ascii="Times New Roman" w:eastAsia="宋体" w:hAnsi="Times New Roman" w:cs="Times New Roman"/>
                <w:b/>
                <w:color w:val="000000"/>
                <w:kern w:val="0"/>
                <w:sz w:val="18"/>
                <w:szCs w:val="18"/>
              </w:rPr>
            </w:pPr>
            <w:r>
              <w:rPr>
                <w:rFonts w:ascii="Times New Roman" w:eastAsia="宋体" w:hAnsi="Times New Roman" w:cs="Times New Roman" w:hint="eastAsia"/>
                <w:b/>
                <w:color w:val="000000"/>
                <w:kern w:val="0"/>
                <w:sz w:val="18"/>
                <w:szCs w:val="18"/>
              </w:rPr>
              <w:t>2019-12-31</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Wanxin</w:t>
            </w:r>
            <w:proofErr w:type="spellEnd"/>
            <w:r>
              <w:rPr>
                <w:rFonts w:ascii="Times New Roman" w:eastAsia="宋体" w:hAnsi="Times New Roman" w:cs="Times New Roman" w:hint="eastAsia"/>
                <w:kern w:val="0"/>
                <w:sz w:val="18"/>
                <w:szCs w:val="18"/>
              </w:rPr>
              <w:t xml:space="preserve"> Tungsten Molybdenum Products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14,847,374.17</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12,779,718.75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Taida</w:t>
            </w:r>
            <w:proofErr w:type="spellEnd"/>
            <w:r>
              <w:rPr>
                <w:rFonts w:ascii="Times New Roman" w:eastAsia="宋体" w:hAnsi="Times New Roman" w:cs="Times New Roman" w:hint="eastAsia"/>
                <w:kern w:val="0"/>
                <w:sz w:val="18"/>
                <w:szCs w:val="18"/>
              </w:rPr>
              <w:t xml:space="preserve"> Investment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438,901.32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Taizhou Jindong Appliance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2,207,716.44</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263,362.55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Jiangyan</w:t>
            </w:r>
            <w:proofErr w:type="spellEnd"/>
            <w:r>
              <w:rPr>
                <w:rFonts w:ascii="Times New Roman" w:eastAsia="宋体" w:hAnsi="Times New Roman" w:cs="Times New Roman" w:hint="eastAsia"/>
                <w:kern w:val="0"/>
                <w:sz w:val="18"/>
                <w:szCs w:val="18"/>
              </w:rPr>
              <w:t xml:space="preserve"> State-owned Assets Investment Group Co., Ltd. </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8,155,140.67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Jiaxin</w:t>
            </w:r>
            <w:proofErr w:type="spellEnd"/>
            <w:r>
              <w:rPr>
                <w:rFonts w:ascii="Times New Roman" w:eastAsia="宋体" w:hAnsi="Times New Roman" w:cs="Times New Roman" w:hint="eastAsia"/>
                <w:kern w:val="0"/>
                <w:sz w:val="18"/>
                <w:szCs w:val="18"/>
              </w:rPr>
              <w:t xml:space="preserve"> Architectural Decoration Engineering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5,267,298.04</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1,828,439.27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Boshi</w:t>
            </w:r>
            <w:proofErr w:type="spellEnd"/>
            <w:r>
              <w:rPr>
                <w:rFonts w:ascii="Times New Roman" w:eastAsia="宋体" w:hAnsi="Times New Roman" w:cs="Times New Roman" w:hint="eastAsia"/>
                <w:kern w:val="0"/>
                <w:sz w:val="18"/>
                <w:szCs w:val="18"/>
              </w:rPr>
              <w:t xml:space="preserve"> Logistics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8,841.11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Dongfang</w:t>
            </w:r>
            <w:proofErr w:type="spellEnd"/>
            <w:r>
              <w:rPr>
                <w:rFonts w:ascii="Times New Roman" w:eastAsia="宋体" w:hAnsi="Times New Roman" w:cs="Times New Roman" w:hint="eastAsia"/>
                <w:kern w:val="0"/>
                <w:sz w:val="18"/>
                <w:szCs w:val="18"/>
              </w:rPr>
              <w:t xml:space="preserve"> Special Chemical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20,437.03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Taizhou Textile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1,885,861.45</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189,696.01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Jinchen</w:t>
            </w:r>
            <w:proofErr w:type="spellEnd"/>
            <w:r>
              <w:rPr>
                <w:rFonts w:ascii="Times New Roman" w:eastAsia="宋体" w:hAnsi="Times New Roman" w:cs="Times New Roman" w:hint="eastAsia"/>
                <w:kern w:val="0"/>
                <w:sz w:val="18"/>
                <w:szCs w:val="18"/>
              </w:rPr>
              <w:t xml:space="preserve"> Trading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275,326.88</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375,000.54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Jinchen</w:t>
            </w:r>
            <w:proofErr w:type="spellEnd"/>
            <w:r>
              <w:rPr>
                <w:rFonts w:ascii="Times New Roman" w:eastAsia="宋体" w:hAnsi="Times New Roman" w:cs="Times New Roman" w:hint="eastAsia"/>
                <w:kern w:val="0"/>
                <w:sz w:val="18"/>
                <w:szCs w:val="18"/>
              </w:rPr>
              <w:t xml:space="preserve"> Group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61,270.59</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56,572.77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Zhengfei</w:t>
            </w:r>
            <w:proofErr w:type="spellEnd"/>
            <w:r>
              <w:rPr>
                <w:rFonts w:ascii="Times New Roman" w:eastAsia="宋体" w:hAnsi="Times New Roman" w:cs="Times New Roman" w:hint="eastAsia"/>
                <w:kern w:val="0"/>
                <w:sz w:val="18"/>
                <w:szCs w:val="18"/>
              </w:rPr>
              <w:t xml:space="preserve"> Construction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5,071,045.66</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3,472.88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Zhengda</w:t>
            </w:r>
            <w:proofErr w:type="spellEnd"/>
            <w:r>
              <w:rPr>
                <w:rFonts w:ascii="Times New Roman" w:eastAsia="宋体" w:hAnsi="Times New Roman" w:cs="Times New Roman" w:hint="eastAsia"/>
                <w:kern w:val="0"/>
                <w:sz w:val="18"/>
                <w:szCs w:val="18"/>
              </w:rPr>
              <w:t xml:space="preserve"> Textile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588,443.30</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9,090,923.67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Yaguang</w:t>
            </w:r>
            <w:proofErr w:type="spellEnd"/>
            <w:r>
              <w:rPr>
                <w:rFonts w:ascii="Times New Roman" w:eastAsia="宋体" w:hAnsi="Times New Roman" w:cs="Times New Roman" w:hint="eastAsia"/>
                <w:kern w:val="0"/>
                <w:sz w:val="18"/>
                <w:szCs w:val="18"/>
              </w:rPr>
              <w:t xml:space="preserve"> Metal Products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668,888.02</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1,239,117.03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Xincheng</w:t>
            </w:r>
            <w:proofErr w:type="spellEnd"/>
            <w:r>
              <w:rPr>
                <w:rFonts w:ascii="Times New Roman" w:eastAsia="宋体" w:hAnsi="Times New Roman" w:cs="Times New Roman" w:hint="eastAsia"/>
                <w:kern w:val="0"/>
                <w:sz w:val="18"/>
                <w:szCs w:val="18"/>
              </w:rPr>
              <w:t xml:space="preserve"> Electronics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7,543,684.89</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2,426,118.56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proofErr w:type="gramStart"/>
            <w:r>
              <w:rPr>
                <w:rFonts w:ascii="Times New Roman" w:eastAsia="宋体" w:hAnsi="Times New Roman" w:cs="Times New Roman" w:hint="eastAsia"/>
                <w:kern w:val="0"/>
                <w:sz w:val="18"/>
                <w:szCs w:val="18"/>
              </w:rPr>
              <w:t>Taida</w:t>
            </w:r>
            <w:proofErr w:type="spellEnd"/>
            <w:r>
              <w:rPr>
                <w:rFonts w:ascii="Times New Roman" w:eastAsia="宋体" w:hAnsi="Times New Roman" w:cs="Times New Roman" w:hint="eastAsia"/>
                <w:kern w:val="0"/>
                <w:sz w:val="18"/>
                <w:szCs w:val="18"/>
              </w:rPr>
              <w:t xml:space="preserve">  Holding</w:t>
            </w:r>
            <w:proofErr w:type="gramEnd"/>
            <w:r>
              <w:rPr>
                <w:rFonts w:ascii="Times New Roman" w:eastAsia="宋体" w:hAnsi="Times New Roman" w:cs="Times New Roman" w:hint="eastAsia"/>
                <w:kern w:val="0"/>
                <w:sz w:val="18"/>
                <w:szCs w:val="18"/>
              </w:rPr>
              <w:t xml:space="preserve"> Group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886,629.09</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210,191.25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Shuangdeng</w:t>
            </w:r>
            <w:proofErr w:type="spellEnd"/>
            <w:r>
              <w:rPr>
                <w:rFonts w:ascii="Times New Roman" w:eastAsia="宋体" w:hAnsi="Times New Roman" w:cs="Times New Roman" w:hint="eastAsia"/>
                <w:kern w:val="0"/>
                <w:sz w:val="18"/>
                <w:szCs w:val="18"/>
              </w:rPr>
              <w:t xml:space="preserve"> </w:t>
            </w:r>
            <w:proofErr w:type="spellStart"/>
            <w:r>
              <w:rPr>
                <w:rFonts w:ascii="Times New Roman" w:eastAsia="宋体" w:hAnsi="Times New Roman" w:cs="Times New Roman" w:hint="eastAsia"/>
                <w:kern w:val="0"/>
                <w:sz w:val="18"/>
                <w:szCs w:val="18"/>
              </w:rPr>
              <w:t>Fulangte</w:t>
            </w:r>
            <w:proofErr w:type="spellEnd"/>
            <w:r>
              <w:rPr>
                <w:rFonts w:ascii="Times New Roman" w:eastAsia="宋体" w:hAnsi="Times New Roman" w:cs="Times New Roman" w:hint="eastAsia"/>
                <w:kern w:val="0"/>
                <w:sz w:val="18"/>
                <w:szCs w:val="18"/>
              </w:rPr>
              <w:t xml:space="preserve"> New Technology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81,795.01</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52,673.61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Shuangdeng</w:t>
            </w:r>
            <w:proofErr w:type="spellEnd"/>
            <w:r>
              <w:rPr>
                <w:rFonts w:ascii="Times New Roman" w:eastAsia="宋体" w:hAnsi="Times New Roman" w:cs="Times New Roman" w:hint="eastAsia"/>
                <w:kern w:val="0"/>
                <w:sz w:val="18"/>
                <w:szCs w:val="18"/>
              </w:rPr>
              <w:t xml:space="preserve"> Power Technology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13,023,158.22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Zhoudongyang</w:t>
            </w:r>
            <w:proofErr w:type="spellEnd"/>
            <w:r>
              <w:rPr>
                <w:rFonts w:ascii="Times New Roman" w:eastAsia="宋体" w:hAnsi="Times New Roman" w:cs="Times New Roman" w:hint="eastAsia"/>
                <w:kern w:val="0"/>
                <w:sz w:val="18"/>
                <w:szCs w:val="18"/>
              </w:rPr>
              <w:t xml:space="preserve"> Agricultural Products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42,245.63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Richu</w:t>
            </w:r>
            <w:proofErr w:type="spellEnd"/>
            <w:r>
              <w:rPr>
                <w:rFonts w:ascii="Times New Roman" w:eastAsia="宋体" w:hAnsi="Times New Roman" w:cs="Times New Roman" w:hint="eastAsia"/>
                <w:kern w:val="0"/>
                <w:sz w:val="18"/>
                <w:szCs w:val="18"/>
              </w:rPr>
              <w:t xml:space="preserve"> Chemical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53,436.23</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41,474.23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Minxing</w:t>
            </w:r>
            <w:proofErr w:type="spellEnd"/>
            <w:r>
              <w:rPr>
                <w:rFonts w:ascii="Times New Roman" w:eastAsia="宋体" w:hAnsi="Times New Roman" w:cs="Times New Roman" w:hint="eastAsia"/>
                <w:kern w:val="0"/>
                <w:sz w:val="18"/>
                <w:szCs w:val="18"/>
              </w:rPr>
              <w:t xml:space="preserve"> Construction Materials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140,506.12</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89,886.19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Jiangsu Green Forest Landscape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21,092.45</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14,801.56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lastRenderedPageBreak/>
              <w:t xml:space="preserve">Jiangsu </w:t>
            </w:r>
            <w:proofErr w:type="spellStart"/>
            <w:r>
              <w:rPr>
                <w:rFonts w:ascii="Times New Roman" w:eastAsia="宋体" w:hAnsi="Times New Roman" w:cs="Times New Roman" w:hint="eastAsia"/>
                <w:kern w:val="0"/>
                <w:sz w:val="18"/>
                <w:szCs w:val="18"/>
              </w:rPr>
              <w:t>Jingdian</w:t>
            </w:r>
            <w:proofErr w:type="spellEnd"/>
            <w:r>
              <w:rPr>
                <w:rFonts w:ascii="Times New Roman" w:eastAsia="宋体" w:hAnsi="Times New Roman" w:cs="Times New Roman" w:hint="eastAsia"/>
                <w:kern w:val="0"/>
                <w:sz w:val="18"/>
                <w:szCs w:val="18"/>
              </w:rPr>
              <w:t xml:space="preserve"> Trading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14,523.53</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46,092.14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Huada</w:t>
            </w:r>
            <w:proofErr w:type="spellEnd"/>
            <w:r>
              <w:rPr>
                <w:rFonts w:ascii="Times New Roman" w:eastAsia="宋体" w:hAnsi="Times New Roman" w:cs="Times New Roman" w:hint="eastAsia"/>
                <w:kern w:val="0"/>
                <w:sz w:val="18"/>
                <w:szCs w:val="18"/>
              </w:rPr>
              <w:t xml:space="preserve"> Textile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411,251.68</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9,758,383.20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Haifu</w:t>
            </w:r>
            <w:proofErr w:type="spellEnd"/>
            <w:r>
              <w:rPr>
                <w:rFonts w:ascii="Times New Roman" w:eastAsia="宋体" w:hAnsi="Times New Roman" w:cs="Times New Roman" w:hint="eastAsia"/>
                <w:kern w:val="0"/>
                <w:sz w:val="18"/>
                <w:szCs w:val="18"/>
              </w:rPr>
              <w:t xml:space="preserve"> Investment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1,402.14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Fuda</w:t>
            </w:r>
            <w:proofErr w:type="spellEnd"/>
            <w:r>
              <w:rPr>
                <w:rFonts w:ascii="Times New Roman" w:eastAsia="宋体" w:hAnsi="Times New Roman" w:cs="Times New Roman" w:hint="eastAsia"/>
                <w:kern w:val="0"/>
                <w:sz w:val="18"/>
                <w:szCs w:val="18"/>
              </w:rPr>
              <w:t xml:space="preserve"> Electronics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2,646,788.00</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1,470,308.64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Fengda</w:t>
            </w:r>
            <w:proofErr w:type="spellEnd"/>
            <w:r>
              <w:rPr>
                <w:rFonts w:ascii="Times New Roman" w:eastAsia="宋体" w:hAnsi="Times New Roman" w:cs="Times New Roman" w:hint="eastAsia"/>
                <w:kern w:val="0"/>
                <w:sz w:val="18"/>
                <w:szCs w:val="18"/>
              </w:rPr>
              <w:t xml:space="preserve"> Import and Export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1,378,714.88</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32,148,625.55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Jiangsu </w:t>
            </w:r>
            <w:proofErr w:type="spellStart"/>
            <w:r>
              <w:rPr>
                <w:rFonts w:ascii="Times New Roman" w:eastAsia="宋体" w:hAnsi="Times New Roman" w:cs="Times New Roman" w:hint="eastAsia"/>
                <w:kern w:val="0"/>
                <w:sz w:val="18"/>
                <w:szCs w:val="18"/>
              </w:rPr>
              <w:t>Fengda</w:t>
            </w:r>
            <w:proofErr w:type="spellEnd"/>
            <w:r>
              <w:rPr>
                <w:rFonts w:ascii="Times New Roman" w:eastAsia="宋体" w:hAnsi="Times New Roman" w:cs="Times New Roman" w:hint="eastAsia"/>
                <w:kern w:val="0"/>
                <w:sz w:val="18"/>
                <w:szCs w:val="18"/>
              </w:rPr>
              <w:t xml:space="preserve"> Textile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218,209.67</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14,923,279.06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Dajun</w:t>
            </w:r>
            <w:proofErr w:type="spellEnd"/>
            <w:r>
              <w:rPr>
                <w:rFonts w:ascii="Times New Roman" w:eastAsia="宋体" w:hAnsi="Times New Roman" w:cs="Times New Roman" w:hint="eastAsia"/>
                <w:kern w:val="0"/>
                <w:sz w:val="18"/>
                <w:szCs w:val="18"/>
              </w:rPr>
              <w:t xml:space="preserve"> Group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150,290.53</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 xml:space="preserve">885.40 </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Pengxin</w:t>
            </w:r>
            <w:proofErr w:type="spellEnd"/>
            <w:r>
              <w:rPr>
                <w:rFonts w:ascii="Times New Roman" w:eastAsia="宋体" w:hAnsi="Times New Roman" w:cs="Times New Roman" w:hint="eastAsia"/>
                <w:kern w:val="0"/>
                <w:sz w:val="18"/>
                <w:szCs w:val="18"/>
              </w:rPr>
              <w:t xml:space="preserve"> Real Estate Development Co., Ltd. </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75,692.03</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Taizhou </w:t>
            </w:r>
            <w:proofErr w:type="spellStart"/>
            <w:r>
              <w:rPr>
                <w:rFonts w:ascii="Times New Roman" w:eastAsia="宋体" w:hAnsi="Times New Roman" w:cs="Times New Roman" w:hint="eastAsia"/>
                <w:kern w:val="0"/>
                <w:sz w:val="18"/>
                <w:szCs w:val="18"/>
              </w:rPr>
              <w:t>Pengxin</w:t>
            </w:r>
            <w:proofErr w:type="spellEnd"/>
            <w:r>
              <w:rPr>
                <w:rFonts w:ascii="Times New Roman" w:eastAsia="宋体" w:hAnsi="Times New Roman" w:cs="Times New Roman" w:hint="eastAsia"/>
                <w:kern w:val="0"/>
                <w:sz w:val="18"/>
                <w:szCs w:val="18"/>
              </w:rPr>
              <w:t xml:space="preserve"> Real Estate Management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43,783.45</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r>
      <w:tr w:rsidR="000B609E">
        <w:trPr>
          <w:trHeight w:hRule="exact" w:val="454"/>
        </w:trPr>
        <w:tc>
          <w:tcPr>
            <w:tcW w:w="5544" w:type="dxa"/>
            <w:vAlign w:val="center"/>
          </w:tcPr>
          <w:p w:rsidR="000B609E" w:rsidRDefault="00B220E1">
            <w:pPr>
              <w:spacing w:afterLines="0" w:after="0"/>
              <w:ind w:firstLineChars="0" w:firstLine="0"/>
              <w:rPr>
                <w:rFonts w:ascii="Times New Roman" w:eastAsia="宋体" w:hAnsi="Times New Roman" w:cs="Times New Roman"/>
                <w:kern w:val="0"/>
                <w:sz w:val="18"/>
                <w:szCs w:val="18"/>
              </w:rPr>
            </w:pPr>
            <w:proofErr w:type="spellStart"/>
            <w:r>
              <w:rPr>
                <w:rFonts w:ascii="Times New Roman" w:eastAsia="宋体" w:hAnsi="Times New Roman" w:cs="Times New Roman" w:hint="eastAsia"/>
                <w:kern w:val="0"/>
                <w:sz w:val="18"/>
                <w:szCs w:val="18"/>
              </w:rPr>
              <w:t>Jiangyan</w:t>
            </w:r>
            <w:proofErr w:type="spellEnd"/>
            <w:r>
              <w:rPr>
                <w:rFonts w:ascii="Times New Roman" w:eastAsia="宋体" w:hAnsi="Times New Roman" w:cs="Times New Roman" w:hint="eastAsia"/>
                <w:kern w:val="0"/>
                <w:sz w:val="18"/>
                <w:szCs w:val="18"/>
              </w:rPr>
              <w:t xml:space="preserve"> </w:t>
            </w:r>
            <w:proofErr w:type="spellStart"/>
            <w:r>
              <w:rPr>
                <w:rFonts w:ascii="Times New Roman" w:eastAsia="宋体" w:hAnsi="Times New Roman" w:cs="Times New Roman" w:hint="eastAsia"/>
                <w:kern w:val="0"/>
                <w:sz w:val="18"/>
                <w:szCs w:val="18"/>
              </w:rPr>
              <w:t>Jinchen</w:t>
            </w:r>
            <w:proofErr w:type="spellEnd"/>
            <w:r>
              <w:rPr>
                <w:rFonts w:ascii="Times New Roman" w:eastAsia="宋体" w:hAnsi="Times New Roman" w:cs="Times New Roman" w:hint="eastAsia"/>
                <w:kern w:val="0"/>
                <w:sz w:val="18"/>
                <w:szCs w:val="18"/>
              </w:rPr>
              <w:t xml:space="preserve"> Door and Window Co., Ltd.</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sz w:val="20"/>
                <w:szCs w:val="20"/>
              </w:rPr>
              <w:t>467.34</w:t>
            </w:r>
          </w:p>
        </w:tc>
        <w:tc>
          <w:tcPr>
            <w:tcW w:w="1980" w:type="dxa"/>
            <w:vAlign w:val="center"/>
          </w:tcPr>
          <w:p w:rsidR="000B609E" w:rsidRPr="004F7CA9" w:rsidRDefault="00B220E1" w:rsidP="004F7CA9">
            <w:pPr>
              <w:spacing w:after="156" w:line="360" w:lineRule="auto"/>
              <w:ind w:firstLineChars="0" w:firstLine="0"/>
              <w:jc w:val="right"/>
              <w:rPr>
                <w:rFonts w:ascii="Arial Narrow" w:hAnsi="Arial Narrow" w:cs="Calibri"/>
                <w:sz w:val="20"/>
                <w:szCs w:val="20"/>
              </w:rPr>
            </w:pPr>
            <w:r w:rsidRPr="004F7CA9">
              <w:rPr>
                <w:rFonts w:ascii="Arial Narrow" w:hAnsi="Arial Narrow" w:cs="Calibri" w:hint="eastAsia"/>
                <w:sz w:val="20"/>
                <w:szCs w:val="20"/>
              </w:rPr>
              <w:t>-</w:t>
            </w:r>
          </w:p>
        </w:tc>
      </w:tr>
      <w:tr w:rsidR="000B609E">
        <w:trPr>
          <w:trHeight w:hRule="exact" w:val="454"/>
        </w:trPr>
        <w:tc>
          <w:tcPr>
            <w:tcW w:w="5544" w:type="dxa"/>
            <w:vAlign w:val="center"/>
          </w:tcPr>
          <w:p w:rsidR="000B609E" w:rsidRDefault="00B220E1">
            <w:pPr>
              <w:spacing w:afterLines="0" w:after="0"/>
              <w:ind w:firstLineChars="600" w:firstLine="1084"/>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1980" w:type="dxa"/>
            <w:vAlign w:val="center"/>
          </w:tcPr>
          <w:p w:rsidR="000B609E" w:rsidRPr="004B24DA" w:rsidRDefault="00B220E1">
            <w:pPr>
              <w:spacing w:after="156"/>
              <w:ind w:firstLine="402"/>
              <w:jc w:val="right"/>
              <w:textAlignment w:val="top"/>
              <w:rPr>
                <w:rFonts w:ascii="Arial Narrow" w:eastAsia="宋体" w:hAnsi="Arial Narrow" w:cs="Arial Narrow"/>
                <w:b/>
                <w:bCs/>
                <w:snapToGrid w:val="0"/>
                <w:kern w:val="0"/>
                <w:sz w:val="20"/>
                <w:szCs w:val="18"/>
              </w:rPr>
            </w:pPr>
            <w:r w:rsidRPr="004B24DA">
              <w:rPr>
                <w:rFonts w:ascii="Arial Narrow" w:hAnsi="Arial Narrow" w:cs="Calibri"/>
                <w:b/>
                <w:bCs/>
                <w:sz w:val="20"/>
              </w:rPr>
              <w:t>44,540,089.45</w:t>
            </w:r>
          </w:p>
        </w:tc>
        <w:tc>
          <w:tcPr>
            <w:tcW w:w="1980" w:type="dxa"/>
            <w:vAlign w:val="center"/>
          </w:tcPr>
          <w:p w:rsidR="000B609E" w:rsidRPr="004B24DA" w:rsidRDefault="00B220E1">
            <w:pPr>
              <w:spacing w:after="156"/>
              <w:ind w:firstLine="402"/>
              <w:jc w:val="right"/>
              <w:textAlignment w:val="top"/>
              <w:rPr>
                <w:rFonts w:ascii="Arial Narrow" w:eastAsia="宋体" w:hAnsi="Arial Narrow" w:cs="Arial Narrow"/>
                <w:b/>
                <w:bCs/>
                <w:snapToGrid w:val="0"/>
                <w:kern w:val="0"/>
                <w:sz w:val="20"/>
                <w:szCs w:val="18"/>
              </w:rPr>
            </w:pPr>
            <w:r w:rsidRPr="004B24DA">
              <w:rPr>
                <w:rFonts w:ascii="Arial Narrow" w:hAnsi="Arial Narrow" w:cs="Calibri" w:hint="eastAsia"/>
                <w:b/>
                <w:bCs/>
                <w:sz w:val="20"/>
              </w:rPr>
              <w:t xml:space="preserve"> 108,699,148.98</w:t>
            </w:r>
            <w:r w:rsidRPr="004B24DA">
              <w:rPr>
                <w:rFonts w:ascii="Arial Narrow" w:hAnsi="Arial Narrow" w:cs="Calibri" w:hint="eastAsia"/>
                <w:sz w:val="20"/>
              </w:rPr>
              <w:t xml:space="preserve"> </w:t>
            </w:r>
          </w:p>
        </w:tc>
      </w:tr>
    </w:tbl>
    <w:p w:rsidR="000B609E" w:rsidRDefault="00B220E1">
      <w:pPr>
        <w:pStyle w:val="1"/>
        <w:numPr>
          <w:ilvl w:val="0"/>
          <w:numId w:val="11"/>
        </w:numPr>
        <w:spacing w:beforeLines="50" w:before="156" w:afterLines="50" w:after="156" w:line="360" w:lineRule="auto"/>
        <w:ind w:left="0" w:firstLine="482"/>
        <w:rPr>
          <w:rFonts w:ascii="Times New Roman" w:hAnsi="Times New Roman" w:cs="Times New Roman"/>
          <w:sz w:val="24"/>
          <w:szCs w:val="24"/>
        </w:rPr>
      </w:pPr>
      <w:r>
        <w:rPr>
          <w:rFonts w:ascii="Times New Roman" w:hAnsi="Times New Roman" w:cs="Times New Roman" w:hint="eastAsia"/>
          <w:sz w:val="24"/>
          <w:szCs w:val="24"/>
        </w:rPr>
        <w:t>CAPITAL ADEQUACY RATIOS</w:t>
      </w:r>
    </w:p>
    <w:p w:rsidR="000B609E" w:rsidRDefault="00B220E1">
      <w:pPr>
        <w:spacing w:beforeLines="50" w:before="156" w:after="156" w:line="360" w:lineRule="auto"/>
        <w:ind w:firstLine="480"/>
        <w:rPr>
          <w:rFonts w:ascii="Times New Roman" w:hAnsi="Times New Roman" w:cs="Times New Roman"/>
          <w:sz w:val="24"/>
          <w:szCs w:val="24"/>
        </w:rPr>
      </w:pPr>
      <w:r>
        <w:rPr>
          <w:rFonts w:ascii="Times New Roman" w:hAnsi="Times New Roman" w:cs="Times New Roman" w:hint="eastAsia"/>
          <w:sz w:val="24"/>
          <w:szCs w:val="24"/>
        </w:rPr>
        <w:t>I</w:t>
      </w:r>
      <w:r>
        <w:rPr>
          <w:rFonts w:ascii="Times New Roman" w:hAnsi="Times New Roman" w:cs="Times New Roman"/>
          <w:sz w:val="24"/>
          <w:szCs w:val="24"/>
        </w:rPr>
        <w:t>n accordance with “Provisional Administrative Rule on Capital Management of Commercial Banks” issued by the CBRC in June 2012</w:t>
      </w:r>
      <w:r>
        <w:rPr>
          <w:rFonts w:ascii="Times New Roman" w:hAnsi="Times New Roman" w:cs="Times New Roman" w:hint="eastAsia"/>
          <w:sz w:val="24"/>
          <w:szCs w:val="24"/>
        </w:rPr>
        <w:t>, t</w:t>
      </w:r>
      <w:r>
        <w:rPr>
          <w:rFonts w:ascii="Times New Roman" w:hAnsi="Times New Roman" w:cs="Times New Roman"/>
          <w:sz w:val="24"/>
          <w:szCs w:val="24"/>
        </w:rPr>
        <w:t>he Group calculates the capital adequacy ratio</w:t>
      </w:r>
      <w:r>
        <w:rPr>
          <w:rFonts w:hint="eastAsia"/>
        </w:rPr>
        <w:t>、</w:t>
      </w:r>
      <w:r>
        <w:rPr>
          <w:rFonts w:ascii="Times New Roman" w:hAnsi="Times New Roman" w:cs="Times New Roman" w:hint="eastAsia"/>
          <w:sz w:val="24"/>
          <w:szCs w:val="24"/>
        </w:rPr>
        <w:t>t</w:t>
      </w:r>
      <w:r>
        <w:rPr>
          <w:rFonts w:ascii="Times New Roman" w:hAnsi="Times New Roman" w:cs="Times New Roman"/>
          <w:sz w:val="24"/>
          <w:szCs w:val="24"/>
        </w:rPr>
        <w:t>ier 1 capital adequacy ratio</w:t>
      </w:r>
      <w:r>
        <w:rPr>
          <w:rFonts w:ascii="Times New Roman" w:hAnsi="Times New Roman" w:cs="Times New Roman" w:hint="eastAsia"/>
          <w:sz w:val="24"/>
          <w:szCs w:val="24"/>
        </w:rPr>
        <w:t xml:space="preserve"> and c</w:t>
      </w:r>
      <w:r>
        <w:rPr>
          <w:rFonts w:ascii="Times New Roman" w:hAnsi="Times New Roman" w:cs="Times New Roman"/>
          <w:sz w:val="24"/>
          <w:szCs w:val="24"/>
        </w:rPr>
        <w:t>ore tier 1 capital adequacy ratios</w:t>
      </w:r>
      <w:r>
        <w:rPr>
          <w:rFonts w:ascii="Times New Roman" w:hAnsi="Times New Roman" w:cs="Times New Roman" w:hint="eastAsia"/>
          <w:sz w:val="24"/>
          <w:szCs w:val="24"/>
        </w:rPr>
        <w:t>:</w:t>
      </w:r>
      <w:r>
        <w:rPr>
          <w:rFonts w:ascii="Times New Roman" w:hAnsi="Times New Roman" w:cs="Times New Roman"/>
          <w:sz w:val="24"/>
          <w:szCs w:val="24"/>
        </w:rPr>
        <w:t xml:space="preserve"> </w:t>
      </w:r>
    </w:p>
    <w:tbl>
      <w:tblPr>
        <w:tblW w:w="9468" w:type="dxa"/>
        <w:tblInd w:w="-436" w:type="dxa"/>
        <w:tblLayout w:type="fixed"/>
        <w:tblLook w:val="04A0" w:firstRow="1" w:lastRow="0" w:firstColumn="1" w:lastColumn="0" w:noHBand="0" w:noVBand="1"/>
      </w:tblPr>
      <w:tblGrid>
        <w:gridCol w:w="3347"/>
        <w:gridCol w:w="1700"/>
        <w:gridCol w:w="1450"/>
        <w:gridCol w:w="1488"/>
        <w:gridCol w:w="1483"/>
      </w:tblGrid>
      <w:tr w:rsidR="000B609E">
        <w:trPr>
          <w:trHeight w:val="277"/>
        </w:trPr>
        <w:tc>
          <w:tcPr>
            <w:tcW w:w="3347"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snapToGrid w:val="0"/>
                <w:kern w:val="0"/>
                <w:sz w:val="18"/>
                <w:szCs w:val="18"/>
                <w:lang w:val="en-GB"/>
              </w:rPr>
            </w:pPr>
            <w:r>
              <w:rPr>
                <w:rFonts w:ascii="Times New Roman" w:eastAsia="宋体" w:hAnsi="Times New Roman" w:cs="Times New Roman"/>
                <w:b/>
                <w:bCs/>
                <w:snapToGrid w:val="0"/>
                <w:kern w:val="0"/>
                <w:sz w:val="18"/>
                <w:szCs w:val="18"/>
                <w:lang w:val="en-GB"/>
              </w:rPr>
              <w:t>Items</w:t>
            </w:r>
          </w:p>
        </w:tc>
        <w:tc>
          <w:tcPr>
            <w:tcW w:w="3150" w:type="dxa"/>
            <w:gridSpan w:val="2"/>
            <w:tcBorders>
              <w:top w:val="doub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snapToGrid w:val="0"/>
                <w:kern w:val="0"/>
                <w:sz w:val="18"/>
                <w:szCs w:val="18"/>
              </w:rPr>
            </w:pPr>
            <w:r>
              <w:rPr>
                <w:rFonts w:ascii="Times New Roman" w:eastAsia="宋体" w:hAnsi="Times New Roman" w:cs="Times New Roman" w:hint="eastAsia"/>
                <w:b/>
                <w:bCs/>
                <w:snapToGrid w:val="0"/>
                <w:kern w:val="0"/>
                <w:sz w:val="18"/>
                <w:szCs w:val="18"/>
              </w:rPr>
              <w:t>The Group</w:t>
            </w:r>
          </w:p>
        </w:tc>
        <w:tc>
          <w:tcPr>
            <w:tcW w:w="2971" w:type="dxa"/>
            <w:gridSpan w:val="2"/>
            <w:tcBorders>
              <w:top w:val="double" w:sz="4" w:space="0" w:color="auto"/>
              <w:left w:val="single" w:sz="4" w:space="0" w:color="auto"/>
              <w:bottom w:val="single" w:sz="4" w:space="0" w:color="auto"/>
              <w:right w:val="nil"/>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snapToGrid w:val="0"/>
                <w:kern w:val="0"/>
                <w:sz w:val="18"/>
                <w:szCs w:val="18"/>
              </w:rPr>
            </w:pPr>
            <w:r>
              <w:rPr>
                <w:rFonts w:ascii="Times New Roman" w:eastAsia="宋体" w:hAnsi="Times New Roman" w:cs="Times New Roman" w:hint="eastAsia"/>
                <w:b/>
                <w:bCs/>
                <w:snapToGrid w:val="0"/>
                <w:kern w:val="0"/>
                <w:sz w:val="18"/>
                <w:szCs w:val="18"/>
              </w:rPr>
              <w:t>The Bank</w:t>
            </w:r>
          </w:p>
        </w:tc>
      </w:tr>
      <w:tr w:rsidR="000B609E">
        <w:trPr>
          <w:trHeight w:val="259"/>
        </w:trPr>
        <w:tc>
          <w:tcPr>
            <w:tcW w:w="3347"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rPr>
                <w:rFonts w:ascii="Times New Roman" w:eastAsia="宋体" w:hAnsi="Times New Roman" w:cs="Times New Roman"/>
                <w:b/>
                <w:bCs/>
                <w:snapToGrid w:val="0"/>
                <w:kern w:val="0"/>
                <w:sz w:val="18"/>
                <w:szCs w:val="18"/>
                <w:lang w:val="en-GB" w:eastAsia="en-US"/>
              </w:rPr>
            </w:pPr>
          </w:p>
        </w:tc>
        <w:tc>
          <w:tcPr>
            <w:tcW w:w="170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snapToGrid w:val="0"/>
                <w:kern w:val="0"/>
                <w:sz w:val="18"/>
                <w:szCs w:val="18"/>
                <w:lang w:val="en-GB"/>
              </w:rPr>
            </w:pPr>
            <w:r>
              <w:rPr>
                <w:rFonts w:ascii="Times New Roman" w:eastAsia="宋体" w:hAnsi="Times New Roman" w:cs="Times New Roman"/>
                <w:b/>
                <w:bCs/>
                <w:snapToGrid w:val="0"/>
                <w:kern w:val="0"/>
                <w:sz w:val="18"/>
                <w:szCs w:val="18"/>
                <w:lang w:val="en-GB"/>
              </w:rPr>
              <w:t>20</w:t>
            </w:r>
            <w:r>
              <w:rPr>
                <w:rFonts w:ascii="Times New Roman" w:eastAsia="宋体" w:hAnsi="Times New Roman" w:cs="Times New Roman" w:hint="eastAsia"/>
                <w:b/>
                <w:bCs/>
                <w:snapToGrid w:val="0"/>
                <w:kern w:val="0"/>
                <w:sz w:val="18"/>
                <w:szCs w:val="18"/>
                <w:lang w:val="en-GB"/>
              </w:rPr>
              <w:t>20</w:t>
            </w:r>
            <w:r>
              <w:rPr>
                <w:rFonts w:ascii="Times New Roman" w:eastAsia="宋体" w:hAnsi="Times New Roman" w:cs="Times New Roman"/>
                <w:b/>
                <w:bCs/>
                <w:snapToGrid w:val="0"/>
                <w:kern w:val="0"/>
                <w:sz w:val="18"/>
                <w:szCs w:val="18"/>
                <w:lang w:val="en-GB"/>
              </w:rPr>
              <w:t>-12-31</w:t>
            </w:r>
          </w:p>
        </w:tc>
        <w:tc>
          <w:tcPr>
            <w:tcW w:w="1450"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snapToGrid w:val="0"/>
                <w:kern w:val="0"/>
                <w:sz w:val="18"/>
                <w:szCs w:val="18"/>
              </w:rPr>
            </w:pPr>
            <w:r>
              <w:rPr>
                <w:rFonts w:ascii="Times New Roman" w:eastAsia="宋体" w:hAnsi="Times New Roman" w:cs="Times New Roman" w:hint="eastAsia"/>
                <w:b/>
                <w:bCs/>
                <w:snapToGrid w:val="0"/>
                <w:kern w:val="0"/>
                <w:sz w:val="18"/>
                <w:szCs w:val="18"/>
              </w:rPr>
              <w:t>2019-12-31</w:t>
            </w:r>
          </w:p>
        </w:tc>
        <w:tc>
          <w:tcPr>
            <w:tcW w:w="1488"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snapToGrid w:val="0"/>
                <w:kern w:val="0"/>
                <w:sz w:val="18"/>
                <w:szCs w:val="18"/>
              </w:rPr>
            </w:pPr>
            <w:r>
              <w:rPr>
                <w:rFonts w:ascii="Times New Roman" w:eastAsia="宋体" w:hAnsi="Times New Roman" w:cs="Times New Roman" w:hint="eastAsia"/>
                <w:b/>
                <w:bCs/>
                <w:snapToGrid w:val="0"/>
                <w:kern w:val="0"/>
                <w:sz w:val="18"/>
                <w:szCs w:val="18"/>
              </w:rPr>
              <w:t>2020-12-31</w:t>
            </w:r>
          </w:p>
        </w:tc>
        <w:tc>
          <w:tcPr>
            <w:tcW w:w="1483" w:type="dxa"/>
            <w:tcBorders>
              <w:top w:val="single" w:sz="4" w:space="0" w:color="auto"/>
              <w:left w:val="single" w:sz="4" w:space="0" w:color="auto"/>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snapToGrid w:val="0"/>
                <w:kern w:val="0"/>
                <w:sz w:val="18"/>
                <w:szCs w:val="18"/>
              </w:rPr>
            </w:pPr>
            <w:r>
              <w:rPr>
                <w:rFonts w:ascii="Times New Roman" w:eastAsia="宋体" w:hAnsi="Times New Roman" w:cs="Times New Roman" w:hint="eastAsia"/>
                <w:b/>
                <w:bCs/>
                <w:snapToGrid w:val="0"/>
                <w:kern w:val="0"/>
                <w:sz w:val="18"/>
                <w:szCs w:val="18"/>
              </w:rPr>
              <w:t>2019-12-31</w:t>
            </w:r>
          </w:p>
        </w:tc>
      </w:tr>
      <w:tr w:rsidR="000B609E">
        <w:trPr>
          <w:trHeight w:hRule="exact" w:val="454"/>
        </w:trPr>
        <w:tc>
          <w:tcPr>
            <w:tcW w:w="334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lang w:val="en-GB" w:eastAsia="en-US"/>
              </w:rPr>
            </w:pPr>
            <w:r>
              <w:rPr>
                <w:rFonts w:ascii="Times New Roman" w:eastAsia="宋体" w:hAnsi="Times New Roman" w:cs="Times New Roman"/>
                <w:kern w:val="0"/>
                <w:sz w:val="18"/>
                <w:szCs w:val="18"/>
                <w:lang w:val="en-GB" w:eastAsia="en-US"/>
              </w:rPr>
              <w:t>Core tier 1 capital – net</w:t>
            </w:r>
          </w:p>
        </w:tc>
        <w:tc>
          <w:tcPr>
            <w:tcW w:w="170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 xml:space="preserve">358,076.02  </w:t>
            </w:r>
          </w:p>
        </w:tc>
        <w:tc>
          <w:tcPr>
            <w:tcW w:w="145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 xml:space="preserve"> 337,089.16 </w:t>
            </w:r>
          </w:p>
        </w:tc>
        <w:tc>
          <w:tcPr>
            <w:tcW w:w="1488"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rPr>
              <w:t xml:space="preserve">346,875.51  </w:t>
            </w:r>
            <w:r>
              <w:rPr>
                <w:rFonts w:ascii="Arial Narrow" w:hAnsi="Arial Narrow" w:cs="Calibri"/>
                <w:sz w:val="20"/>
                <w:szCs w:val="20"/>
              </w:rPr>
              <w:t xml:space="preserve"> </w:t>
            </w:r>
          </w:p>
        </w:tc>
        <w:tc>
          <w:tcPr>
            <w:tcW w:w="1483" w:type="dxa"/>
            <w:tcBorders>
              <w:top w:val="nil"/>
              <w:left w:val="single" w:sz="4" w:space="0" w:color="auto"/>
              <w:bottom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 xml:space="preserve"> 326,456.62 </w:t>
            </w:r>
          </w:p>
        </w:tc>
      </w:tr>
      <w:tr w:rsidR="000B609E">
        <w:trPr>
          <w:trHeight w:hRule="exact" w:val="454"/>
        </w:trPr>
        <w:tc>
          <w:tcPr>
            <w:tcW w:w="334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lang w:val="en-GB" w:eastAsia="en-US"/>
              </w:rPr>
            </w:pPr>
            <w:r>
              <w:rPr>
                <w:rFonts w:ascii="Times New Roman" w:eastAsia="宋体" w:hAnsi="Times New Roman" w:cs="Times New Roman"/>
                <w:kern w:val="0"/>
                <w:sz w:val="18"/>
                <w:szCs w:val="18"/>
                <w:lang w:val="en-GB" w:eastAsia="en-US"/>
              </w:rPr>
              <w:t>Tier 1 capital - net</w:t>
            </w:r>
          </w:p>
        </w:tc>
        <w:tc>
          <w:tcPr>
            <w:tcW w:w="170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 xml:space="preserve">358,076.02  </w:t>
            </w:r>
          </w:p>
        </w:tc>
        <w:tc>
          <w:tcPr>
            <w:tcW w:w="145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 xml:space="preserve"> 337,089.16 </w:t>
            </w:r>
          </w:p>
        </w:tc>
        <w:tc>
          <w:tcPr>
            <w:tcW w:w="1488"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 xml:space="preserve">358,076.02  </w:t>
            </w:r>
          </w:p>
        </w:tc>
        <w:tc>
          <w:tcPr>
            <w:tcW w:w="1483" w:type="dxa"/>
            <w:tcBorders>
              <w:top w:val="nil"/>
              <w:left w:val="single" w:sz="4" w:space="0" w:color="auto"/>
              <w:bottom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 xml:space="preserve"> 326,394.91 </w:t>
            </w:r>
          </w:p>
        </w:tc>
      </w:tr>
      <w:tr w:rsidR="000B609E">
        <w:trPr>
          <w:trHeight w:hRule="exact" w:val="454"/>
        </w:trPr>
        <w:tc>
          <w:tcPr>
            <w:tcW w:w="334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lang w:val="en-GB"/>
              </w:rPr>
            </w:pPr>
            <w:r>
              <w:rPr>
                <w:rFonts w:ascii="Times New Roman" w:eastAsia="宋体" w:hAnsi="Times New Roman" w:cs="Times New Roman"/>
                <w:kern w:val="0"/>
                <w:sz w:val="18"/>
                <w:szCs w:val="18"/>
                <w:lang w:val="en-GB"/>
              </w:rPr>
              <w:t>Tier 2 capital - net</w:t>
            </w:r>
          </w:p>
        </w:tc>
        <w:tc>
          <w:tcPr>
            <w:tcW w:w="170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 xml:space="preserve">76,392.46  </w:t>
            </w:r>
          </w:p>
        </w:tc>
        <w:tc>
          <w:tcPr>
            <w:tcW w:w="145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 xml:space="preserve"> 74,098.64 </w:t>
            </w:r>
          </w:p>
        </w:tc>
        <w:tc>
          <w:tcPr>
            <w:tcW w:w="1488"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 xml:space="preserve">76,392.46  </w:t>
            </w:r>
          </w:p>
        </w:tc>
        <w:tc>
          <w:tcPr>
            <w:tcW w:w="1483" w:type="dxa"/>
            <w:tcBorders>
              <w:top w:val="nil"/>
              <w:left w:val="single" w:sz="4" w:space="0" w:color="auto"/>
              <w:bottom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 xml:space="preserve"> 49,691.44 </w:t>
            </w:r>
          </w:p>
        </w:tc>
      </w:tr>
      <w:tr w:rsidR="000B609E">
        <w:trPr>
          <w:trHeight w:hRule="exact" w:val="454"/>
        </w:trPr>
        <w:tc>
          <w:tcPr>
            <w:tcW w:w="334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lang w:val="en-GB"/>
              </w:rPr>
            </w:pPr>
            <w:r>
              <w:rPr>
                <w:rFonts w:ascii="Times New Roman" w:eastAsia="宋体" w:hAnsi="Times New Roman" w:cs="Times New Roman"/>
                <w:kern w:val="0"/>
                <w:sz w:val="18"/>
                <w:szCs w:val="18"/>
                <w:lang w:val="en-GB"/>
              </w:rPr>
              <w:t>Total capital - net</w:t>
            </w:r>
          </w:p>
        </w:tc>
        <w:tc>
          <w:tcPr>
            <w:tcW w:w="170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434,468.48</w:t>
            </w:r>
          </w:p>
        </w:tc>
        <w:tc>
          <w:tcPr>
            <w:tcW w:w="145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 xml:space="preserve"> 411,187.79 </w:t>
            </w:r>
          </w:p>
        </w:tc>
        <w:tc>
          <w:tcPr>
            <w:tcW w:w="1488"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434,468.48</w:t>
            </w:r>
          </w:p>
        </w:tc>
        <w:tc>
          <w:tcPr>
            <w:tcW w:w="1483" w:type="dxa"/>
            <w:tcBorders>
              <w:top w:val="nil"/>
              <w:left w:val="single" w:sz="4" w:space="0" w:color="auto"/>
              <w:bottom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 xml:space="preserve"> 376,086.35 </w:t>
            </w:r>
          </w:p>
        </w:tc>
      </w:tr>
      <w:tr w:rsidR="000B609E">
        <w:trPr>
          <w:trHeight w:hRule="exact" w:val="454"/>
        </w:trPr>
        <w:tc>
          <w:tcPr>
            <w:tcW w:w="334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lang w:val="en-GB" w:eastAsia="en-US"/>
              </w:rPr>
            </w:pPr>
            <w:r>
              <w:rPr>
                <w:rFonts w:ascii="Times New Roman" w:eastAsia="宋体" w:hAnsi="Times New Roman" w:cs="Times New Roman"/>
                <w:kern w:val="0"/>
                <w:sz w:val="18"/>
                <w:szCs w:val="18"/>
                <w:lang w:val="en-GB" w:eastAsia="en-US"/>
              </w:rPr>
              <w:t>Total risk weighted assets</w:t>
            </w:r>
          </w:p>
        </w:tc>
        <w:tc>
          <w:tcPr>
            <w:tcW w:w="170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 xml:space="preserve">2,437,355.14  </w:t>
            </w:r>
          </w:p>
        </w:tc>
        <w:tc>
          <w:tcPr>
            <w:tcW w:w="145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 xml:space="preserve"> 2,121,369.01 </w:t>
            </w:r>
          </w:p>
        </w:tc>
        <w:tc>
          <w:tcPr>
            <w:tcW w:w="1488"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 xml:space="preserve">2,437,355.14  </w:t>
            </w:r>
          </w:p>
        </w:tc>
        <w:tc>
          <w:tcPr>
            <w:tcW w:w="1483" w:type="dxa"/>
            <w:tcBorders>
              <w:top w:val="nil"/>
              <w:left w:val="single" w:sz="4" w:space="0" w:color="auto"/>
              <w:bottom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 xml:space="preserve"> 2,058,387.08 </w:t>
            </w:r>
          </w:p>
        </w:tc>
      </w:tr>
      <w:tr w:rsidR="000B609E">
        <w:trPr>
          <w:trHeight w:hRule="exact" w:val="454"/>
        </w:trPr>
        <w:tc>
          <w:tcPr>
            <w:tcW w:w="334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lang w:val="en-GB" w:eastAsia="en-US"/>
              </w:rPr>
            </w:pPr>
            <w:r>
              <w:rPr>
                <w:rFonts w:ascii="Times New Roman" w:eastAsia="宋体" w:hAnsi="Times New Roman" w:cs="Times New Roman"/>
                <w:kern w:val="0"/>
                <w:sz w:val="18"/>
                <w:szCs w:val="18"/>
                <w:lang w:val="en-GB" w:eastAsia="en-US"/>
              </w:rPr>
              <w:t>core tier 1 capital adequacy ratio%</w:t>
            </w:r>
          </w:p>
        </w:tc>
        <w:tc>
          <w:tcPr>
            <w:tcW w:w="170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14.69%</w:t>
            </w:r>
          </w:p>
        </w:tc>
        <w:tc>
          <w:tcPr>
            <w:tcW w:w="145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15.89%</w:t>
            </w:r>
          </w:p>
        </w:tc>
        <w:tc>
          <w:tcPr>
            <w:tcW w:w="1488"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14.69%</w:t>
            </w:r>
          </w:p>
        </w:tc>
        <w:tc>
          <w:tcPr>
            <w:tcW w:w="1483" w:type="dxa"/>
            <w:tcBorders>
              <w:top w:val="nil"/>
              <w:left w:val="single" w:sz="4" w:space="0" w:color="auto"/>
              <w:bottom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15.86%</w:t>
            </w:r>
          </w:p>
        </w:tc>
      </w:tr>
      <w:tr w:rsidR="000B609E">
        <w:trPr>
          <w:trHeight w:hRule="exact" w:val="454"/>
        </w:trPr>
        <w:tc>
          <w:tcPr>
            <w:tcW w:w="3347"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lang w:val="en-GB" w:eastAsia="en-US"/>
              </w:rPr>
            </w:pPr>
            <w:r>
              <w:rPr>
                <w:rFonts w:ascii="Times New Roman" w:eastAsia="宋体" w:hAnsi="Times New Roman" w:cs="Times New Roman"/>
                <w:kern w:val="0"/>
                <w:sz w:val="18"/>
                <w:szCs w:val="18"/>
                <w:lang w:val="en-GB"/>
              </w:rPr>
              <w:t>T</w:t>
            </w:r>
            <w:r>
              <w:rPr>
                <w:rFonts w:ascii="Times New Roman" w:eastAsia="宋体" w:hAnsi="Times New Roman" w:cs="Times New Roman"/>
                <w:kern w:val="0"/>
                <w:sz w:val="18"/>
                <w:szCs w:val="18"/>
                <w:lang w:val="en-GB" w:eastAsia="en-US"/>
              </w:rPr>
              <w:t>ier 1 capital adequacy ratio %</w:t>
            </w:r>
          </w:p>
        </w:tc>
        <w:tc>
          <w:tcPr>
            <w:tcW w:w="170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14.69%</w:t>
            </w:r>
          </w:p>
        </w:tc>
        <w:tc>
          <w:tcPr>
            <w:tcW w:w="1450" w:type="dxa"/>
            <w:tcBorders>
              <w:top w:val="nil"/>
              <w:left w:val="nil"/>
              <w:bottom w:val="single" w:sz="4" w:space="0" w:color="000000"/>
              <w:right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15.89%</w:t>
            </w:r>
          </w:p>
        </w:tc>
        <w:tc>
          <w:tcPr>
            <w:tcW w:w="1488" w:type="dxa"/>
            <w:tcBorders>
              <w:top w:val="single" w:sz="4" w:space="0" w:color="auto"/>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14.69%</w:t>
            </w:r>
          </w:p>
        </w:tc>
        <w:tc>
          <w:tcPr>
            <w:tcW w:w="1483" w:type="dxa"/>
            <w:tcBorders>
              <w:top w:val="nil"/>
              <w:left w:val="single" w:sz="4" w:space="0" w:color="auto"/>
              <w:bottom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15.86%</w:t>
            </w:r>
          </w:p>
        </w:tc>
      </w:tr>
      <w:tr w:rsidR="000B609E">
        <w:trPr>
          <w:trHeight w:hRule="exact" w:val="454"/>
        </w:trPr>
        <w:tc>
          <w:tcPr>
            <w:tcW w:w="3347"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lang w:val="en-GB" w:eastAsia="en-US"/>
              </w:rPr>
            </w:pPr>
            <w:r>
              <w:rPr>
                <w:rFonts w:ascii="Times New Roman" w:eastAsia="宋体" w:hAnsi="Times New Roman" w:cs="Times New Roman"/>
                <w:kern w:val="0"/>
                <w:sz w:val="18"/>
                <w:szCs w:val="18"/>
                <w:lang w:val="en-GB"/>
              </w:rPr>
              <w:t>C</w:t>
            </w:r>
            <w:r>
              <w:rPr>
                <w:rFonts w:ascii="Times New Roman" w:eastAsia="宋体" w:hAnsi="Times New Roman" w:cs="Times New Roman"/>
                <w:kern w:val="0"/>
                <w:sz w:val="18"/>
                <w:szCs w:val="18"/>
                <w:lang w:val="en-GB" w:eastAsia="en-US"/>
              </w:rPr>
              <w:t>apital adequacy ratio %</w:t>
            </w:r>
          </w:p>
        </w:tc>
        <w:tc>
          <w:tcPr>
            <w:tcW w:w="1700" w:type="dxa"/>
            <w:tcBorders>
              <w:top w:val="nil"/>
              <w:left w:val="nil"/>
              <w:bottom w:val="double" w:sz="4" w:space="0" w:color="auto"/>
              <w:right w:val="single" w:sz="4" w:space="0" w:color="000000"/>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17.83%</w:t>
            </w:r>
          </w:p>
        </w:tc>
        <w:tc>
          <w:tcPr>
            <w:tcW w:w="1450" w:type="dxa"/>
            <w:tcBorders>
              <w:top w:val="nil"/>
              <w:left w:val="nil"/>
              <w:bottom w:val="double" w:sz="4" w:space="0" w:color="auto"/>
              <w:right w:val="single" w:sz="4" w:space="0" w:color="000000"/>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19.38%</w:t>
            </w:r>
          </w:p>
        </w:tc>
        <w:tc>
          <w:tcPr>
            <w:tcW w:w="1488" w:type="dxa"/>
            <w:tcBorders>
              <w:top w:val="single" w:sz="4" w:space="0" w:color="auto"/>
              <w:left w:val="nil"/>
              <w:bottom w:val="double" w:sz="4" w:space="0" w:color="auto"/>
              <w:right w:val="single" w:sz="4" w:space="0" w:color="auto"/>
            </w:tcBorders>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17.83%</w:t>
            </w:r>
          </w:p>
        </w:tc>
        <w:tc>
          <w:tcPr>
            <w:tcW w:w="1483" w:type="dxa"/>
            <w:tcBorders>
              <w:top w:val="nil"/>
              <w:left w:val="single" w:sz="4" w:space="0" w:color="auto"/>
              <w:bottom w:val="double" w:sz="4" w:space="0" w:color="auto"/>
            </w:tcBorders>
            <w:shd w:val="clear" w:color="auto" w:fill="auto"/>
            <w:vAlign w:val="center"/>
          </w:tcPr>
          <w:p w:rsidR="000B609E" w:rsidRDefault="00B220E1">
            <w:pPr>
              <w:spacing w:afterLines="0" w:after="0"/>
              <w:ind w:firstLineChars="0" w:firstLine="0"/>
              <w:jc w:val="right"/>
              <w:rPr>
                <w:rFonts w:ascii="Arial Narrow" w:hAnsi="Arial Narrow" w:cs="Calibri"/>
                <w:sz w:val="20"/>
                <w:szCs w:val="20"/>
              </w:rPr>
            </w:pPr>
            <w:r>
              <w:rPr>
                <w:rFonts w:ascii="Arial Narrow" w:hAnsi="Arial Narrow" w:cs="Calibri" w:hint="eastAsia"/>
                <w:sz w:val="20"/>
                <w:szCs w:val="20"/>
              </w:rPr>
              <w:t>18.27%</w:t>
            </w:r>
          </w:p>
        </w:tc>
      </w:tr>
    </w:tbl>
    <w:p w:rsidR="000B609E" w:rsidRDefault="00B220E1">
      <w:pPr>
        <w:pStyle w:val="1"/>
        <w:numPr>
          <w:ilvl w:val="0"/>
          <w:numId w:val="11"/>
        </w:numPr>
        <w:spacing w:beforeLines="50" w:before="156" w:after="10" w:line="360" w:lineRule="auto"/>
        <w:ind w:left="0" w:firstLine="482"/>
        <w:rPr>
          <w:rFonts w:ascii="Times New Roman" w:hAnsi="Times New Roman" w:cs="Times New Roman"/>
          <w:sz w:val="24"/>
          <w:szCs w:val="24"/>
        </w:rPr>
      </w:pPr>
      <w:r>
        <w:rPr>
          <w:rFonts w:ascii="Times New Roman" w:hAnsi="Times New Roman" w:cs="Times New Roman"/>
          <w:sz w:val="24"/>
          <w:szCs w:val="24"/>
        </w:rPr>
        <w:lastRenderedPageBreak/>
        <w:t>EVENTS AFTER THE REPORTING DATE</w:t>
      </w:r>
    </w:p>
    <w:p w:rsidR="000B609E" w:rsidRDefault="00B220E1">
      <w:pPr>
        <w:pStyle w:val="1"/>
        <w:spacing w:before="0" w:after="10" w:line="360" w:lineRule="auto"/>
        <w:ind w:firstLine="480"/>
      </w:pPr>
      <w:r>
        <w:rPr>
          <w:rFonts w:ascii="Times New Roman" w:hAnsi="Times New Roman" w:cs="Times New Roman" w:hint="eastAsia"/>
          <w:b w:val="0"/>
          <w:kern w:val="2"/>
          <w:sz w:val="24"/>
          <w:szCs w:val="24"/>
        </w:rPr>
        <w:t xml:space="preserve">There </w:t>
      </w:r>
      <w:proofErr w:type="gramStart"/>
      <w:r>
        <w:rPr>
          <w:rFonts w:ascii="Times New Roman" w:hAnsi="Times New Roman" w:cs="Times New Roman" w:hint="eastAsia"/>
          <w:b w:val="0"/>
          <w:kern w:val="2"/>
          <w:sz w:val="24"/>
          <w:szCs w:val="24"/>
        </w:rPr>
        <w:t>is</w:t>
      </w:r>
      <w:proofErr w:type="gramEnd"/>
      <w:r>
        <w:rPr>
          <w:rFonts w:ascii="Times New Roman" w:hAnsi="Times New Roman" w:cs="Times New Roman" w:hint="eastAsia"/>
          <w:b w:val="0"/>
          <w:kern w:val="2"/>
          <w:sz w:val="24"/>
          <w:szCs w:val="24"/>
        </w:rPr>
        <w:t xml:space="preserve"> no events happening after the reporting date. </w:t>
      </w:r>
    </w:p>
    <w:p w:rsidR="000B609E" w:rsidRDefault="00B220E1">
      <w:pPr>
        <w:pStyle w:val="1"/>
        <w:numPr>
          <w:ilvl w:val="0"/>
          <w:numId w:val="11"/>
        </w:numPr>
        <w:spacing w:before="0" w:after="10" w:line="360" w:lineRule="auto"/>
        <w:ind w:left="0" w:firstLine="482"/>
        <w:rPr>
          <w:rFonts w:ascii="Times New Roman" w:hAnsi="Times New Roman" w:cs="Times New Roman"/>
          <w:sz w:val="24"/>
          <w:szCs w:val="24"/>
        </w:rPr>
      </w:pPr>
      <w:r>
        <w:rPr>
          <w:rFonts w:ascii="Times New Roman" w:hAnsi="Times New Roman" w:cs="Times New Roman" w:hint="eastAsia"/>
          <w:sz w:val="24"/>
          <w:szCs w:val="24"/>
        </w:rPr>
        <w:t>SUPPLEMENTARY INFORMATION</w:t>
      </w:r>
    </w:p>
    <w:p w:rsidR="000B609E" w:rsidRDefault="00B220E1">
      <w:pPr>
        <w:pStyle w:val="11"/>
        <w:numPr>
          <w:ilvl w:val="0"/>
          <w:numId w:val="41"/>
        </w:numPr>
        <w:spacing w:after="156" w:line="360" w:lineRule="auto"/>
        <w:ind w:left="0" w:firstLine="482"/>
        <w:rPr>
          <w:rFonts w:ascii="Times New Roman" w:hAnsi="Times New Roman" w:cs="Times New Roman"/>
          <w:b/>
          <w:bCs/>
          <w:sz w:val="24"/>
          <w:szCs w:val="24"/>
        </w:rPr>
      </w:pPr>
      <w:r>
        <w:rPr>
          <w:rFonts w:ascii="Times New Roman" w:hAnsi="Times New Roman" w:cs="Times New Roman" w:hint="eastAsia"/>
          <w:b/>
          <w:bCs/>
          <w:sz w:val="24"/>
          <w:szCs w:val="24"/>
        </w:rPr>
        <w:t>Non-recurring profit and loss</w:t>
      </w:r>
    </w:p>
    <w:tbl>
      <w:tblPr>
        <w:tblW w:w="9528" w:type="dxa"/>
        <w:tblInd w:w="-436" w:type="dxa"/>
        <w:tblBorders>
          <w:top w:val="double" w:sz="4" w:space="0" w:color="auto"/>
          <w:bottom w:val="double" w:sz="4" w:space="0" w:color="auto"/>
          <w:insideH w:val="single" w:sz="4" w:space="0" w:color="auto"/>
          <w:insideV w:val="single" w:sz="4" w:space="0" w:color="auto"/>
        </w:tblBorders>
        <w:tblLayout w:type="fixed"/>
        <w:tblLook w:val="04A0" w:firstRow="1" w:lastRow="0" w:firstColumn="1" w:lastColumn="0" w:noHBand="0" w:noVBand="1"/>
      </w:tblPr>
      <w:tblGrid>
        <w:gridCol w:w="3985"/>
        <w:gridCol w:w="2322"/>
        <w:gridCol w:w="3221"/>
      </w:tblGrid>
      <w:tr w:rsidR="000B609E">
        <w:trPr>
          <w:trHeight w:val="327"/>
          <w:tblHeader/>
        </w:trPr>
        <w:tc>
          <w:tcPr>
            <w:tcW w:w="3985" w:type="dxa"/>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Items</w:t>
            </w:r>
          </w:p>
        </w:tc>
        <w:tc>
          <w:tcPr>
            <w:tcW w:w="2322" w:type="dxa"/>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w:t>
            </w:r>
            <w:r>
              <w:rPr>
                <w:rFonts w:ascii="Times New Roman" w:eastAsia="宋体" w:hAnsi="Times New Roman" w:cs="Times New Roman" w:hint="eastAsia"/>
                <w:b/>
                <w:kern w:val="0"/>
                <w:sz w:val="18"/>
                <w:szCs w:val="18"/>
              </w:rPr>
              <w:t>20</w:t>
            </w:r>
          </w:p>
        </w:tc>
        <w:tc>
          <w:tcPr>
            <w:tcW w:w="3221" w:type="dxa"/>
            <w:shd w:val="clear" w:color="auto" w:fill="auto"/>
            <w:vAlign w:val="center"/>
          </w:tcPr>
          <w:p w:rsidR="000B609E" w:rsidRDefault="00B220E1">
            <w:pPr>
              <w:spacing w:afterLines="0" w:after="0"/>
              <w:ind w:firstLine="361"/>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201</w:t>
            </w:r>
            <w:r>
              <w:rPr>
                <w:rFonts w:ascii="Times New Roman" w:eastAsia="宋体" w:hAnsi="Times New Roman" w:cs="Times New Roman" w:hint="eastAsia"/>
                <w:b/>
                <w:kern w:val="0"/>
                <w:sz w:val="18"/>
                <w:szCs w:val="18"/>
              </w:rPr>
              <w:t>9</w:t>
            </w:r>
          </w:p>
        </w:tc>
      </w:tr>
      <w:tr w:rsidR="000B609E" w:rsidTr="00EA6928">
        <w:trPr>
          <w:trHeight w:hRule="exact" w:val="1008"/>
        </w:trPr>
        <w:tc>
          <w:tcPr>
            <w:tcW w:w="3985" w:type="dxa"/>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Gain or loss on disposal of fixed asset</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 xml:space="preserve">included the party that is written off against the related provisions for impairment. </w:t>
            </w:r>
          </w:p>
        </w:tc>
        <w:tc>
          <w:tcPr>
            <w:tcW w:w="232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2,038,558.46</w:t>
            </w:r>
          </w:p>
        </w:tc>
        <w:tc>
          <w:tcPr>
            <w:tcW w:w="3221"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508,797.69 </w:t>
            </w:r>
          </w:p>
        </w:tc>
      </w:tr>
      <w:tr w:rsidR="000B609E" w:rsidTr="00EA6928">
        <w:trPr>
          <w:trHeight w:val="1399"/>
        </w:trPr>
        <w:tc>
          <w:tcPr>
            <w:tcW w:w="3985" w:type="dxa"/>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Government subsidies that recognized in the profit or loss </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but except the subsidy which is related to the business operation of the company</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In line with national policy and can be acquired in a certain standard continuously.</w:t>
            </w:r>
          </w:p>
        </w:tc>
        <w:tc>
          <w:tcPr>
            <w:tcW w:w="232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2,148,135.13</w:t>
            </w:r>
          </w:p>
        </w:tc>
        <w:tc>
          <w:tcPr>
            <w:tcW w:w="3221"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1,078,700.00 </w:t>
            </w:r>
          </w:p>
        </w:tc>
      </w:tr>
      <w:tr w:rsidR="000B609E" w:rsidTr="00EA6928">
        <w:trPr>
          <w:trHeight w:hRule="exact" w:val="691"/>
        </w:trPr>
        <w:tc>
          <w:tcPr>
            <w:tcW w:w="3985" w:type="dxa"/>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Other non-business net profits/losses expected above items</w:t>
            </w:r>
          </w:p>
        </w:tc>
        <w:tc>
          <w:tcPr>
            <w:tcW w:w="232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914,930.68</w:t>
            </w:r>
          </w:p>
        </w:tc>
        <w:tc>
          <w:tcPr>
            <w:tcW w:w="3221"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-2,610,420.17 </w:t>
            </w:r>
          </w:p>
        </w:tc>
      </w:tr>
      <w:tr w:rsidR="000B609E" w:rsidTr="00EA6928">
        <w:trPr>
          <w:trHeight w:hRule="exact" w:val="417"/>
        </w:trPr>
        <w:tc>
          <w:tcPr>
            <w:tcW w:w="3985" w:type="dxa"/>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Impact of income tax</w:t>
            </w:r>
          </w:p>
        </w:tc>
        <w:tc>
          <w:tcPr>
            <w:tcW w:w="232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-1,703,172.91</w:t>
            </w:r>
          </w:p>
        </w:tc>
        <w:tc>
          <w:tcPr>
            <w:tcW w:w="3221"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-645,210.52 </w:t>
            </w:r>
          </w:p>
        </w:tc>
      </w:tr>
      <w:tr w:rsidR="000B609E" w:rsidTr="00EA6928">
        <w:trPr>
          <w:trHeight w:hRule="exact" w:val="295"/>
        </w:trPr>
        <w:tc>
          <w:tcPr>
            <w:tcW w:w="3985" w:type="dxa"/>
            <w:shd w:val="clear" w:color="auto" w:fill="auto"/>
            <w:vAlign w:val="center"/>
          </w:tcPr>
          <w:p w:rsidR="000B609E" w:rsidRDefault="00B220E1">
            <w:pPr>
              <w:spacing w:afterLines="0" w:after="0"/>
              <w:ind w:firstLineChars="0" w:firstLine="0"/>
              <w:jc w:val="both"/>
              <w:rPr>
                <w:rFonts w:ascii="Times New Roman" w:eastAsia="宋体" w:hAnsi="Times New Roman" w:cs="Times New Roman"/>
                <w:kern w:val="0"/>
                <w:sz w:val="18"/>
                <w:szCs w:val="18"/>
              </w:rPr>
            </w:pPr>
            <w:r>
              <w:rPr>
                <w:rFonts w:ascii="Times New Roman" w:eastAsia="宋体" w:hAnsi="Times New Roman" w:cs="Times New Roman"/>
                <w:kern w:val="0"/>
                <w:sz w:val="18"/>
                <w:szCs w:val="18"/>
              </w:rPr>
              <w:t>Minority interest</w:t>
            </w:r>
          </w:p>
        </w:tc>
        <w:tc>
          <w:tcPr>
            <w:tcW w:w="2322"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hAnsi="Arial Narrow" w:cs="Calibri"/>
                <w:sz w:val="20"/>
                <w:szCs w:val="20"/>
              </w:rPr>
              <w:t>-582,952.42</w:t>
            </w:r>
          </w:p>
        </w:tc>
        <w:tc>
          <w:tcPr>
            <w:tcW w:w="3221" w:type="dxa"/>
            <w:shd w:val="clear" w:color="auto" w:fill="auto"/>
            <w:vAlign w:val="center"/>
          </w:tcPr>
          <w:p w:rsidR="000B609E" w:rsidRDefault="00B220E1">
            <w:pPr>
              <w:spacing w:afterLines="0" w:after="0"/>
              <w:ind w:firstLineChars="0" w:firstLine="0"/>
              <w:jc w:val="right"/>
              <w:rPr>
                <w:rFonts w:ascii="Arial Narrow" w:eastAsia="宋体" w:hAnsi="Arial Narrow" w:cs="Arial Narrow"/>
                <w:snapToGrid w:val="0"/>
                <w:kern w:val="0"/>
                <w:sz w:val="20"/>
                <w:szCs w:val="20"/>
              </w:rPr>
            </w:pPr>
            <w:r>
              <w:rPr>
                <w:rFonts w:ascii="Arial Narrow" w:eastAsia="宋体" w:hAnsi="Arial Narrow" w:cs="Arial Narrow" w:hint="eastAsia"/>
                <w:snapToGrid w:val="0"/>
                <w:kern w:val="0"/>
                <w:sz w:val="20"/>
                <w:szCs w:val="20"/>
              </w:rPr>
              <w:t xml:space="preserve"> -349,687.26 </w:t>
            </w:r>
          </w:p>
        </w:tc>
      </w:tr>
      <w:tr w:rsidR="000B609E" w:rsidTr="00EA6928">
        <w:trPr>
          <w:trHeight w:hRule="exact" w:val="271"/>
        </w:trPr>
        <w:tc>
          <w:tcPr>
            <w:tcW w:w="3985" w:type="dxa"/>
            <w:shd w:val="clear" w:color="auto" w:fill="auto"/>
            <w:vAlign w:val="center"/>
          </w:tcPr>
          <w:p w:rsidR="000B609E" w:rsidRDefault="00B220E1">
            <w:pPr>
              <w:spacing w:afterLines="0" w:after="0"/>
              <w:ind w:firstLineChars="650" w:firstLine="1175"/>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Total</w:t>
            </w:r>
          </w:p>
        </w:tc>
        <w:tc>
          <w:tcPr>
            <w:tcW w:w="2322"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hAnsi="Arial Narrow" w:cs="Calibri"/>
                <w:b/>
                <w:sz w:val="20"/>
                <w:szCs w:val="20"/>
              </w:rPr>
              <w:t>2,815,498.94</w:t>
            </w:r>
          </w:p>
        </w:tc>
        <w:tc>
          <w:tcPr>
            <w:tcW w:w="3221" w:type="dxa"/>
            <w:shd w:val="clear" w:color="auto" w:fill="auto"/>
            <w:vAlign w:val="center"/>
          </w:tcPr>
          <w:p w:rsidR="000B609E" w:rsidRDefault="00B220E1">
            <w:pPr>
              <w:spacing w:afterLines="0" w:after="0"/>
              <w:ind w:firstLineChars="0" w:firstLine="0"/>
              <w:jc w:val="right"/>
              <w:rPr>
                <w:rFonts w:ascii="Arial Narrow" w:eastAsia="宋体" w:hAnsi="Arial Narrow" w:cs="Arial Narrow"/>
                <w:b/>
                <w:bCs/>
                <w:snapToGrid w:val="0"/>
                <w:kern w:val="0"/>
                <w:sz w:val="20"/>
                <w:szCs w:val="20"/>
              </w:rPr>
            </w:pPr>
            <w:r>
              <w:rPr>
                <w:rFonts w:ascii="Arial Narrow" w:eastAsia="宋体" w:hAnsi="Arial Narrow" w:cs="Arial Narrow" w:hint="eastAsia"/>
                <w:b/>
                <w:bCs/>
                <w:snapToGrid w:val="0"/>
                <w:kern w:val="0"/>
                <w:sz w:val="20"/>
                <w:szCs w:val="20"/>
              </w:rPr>
              <w:t xml:space="preserve"> -2,017,820.26 </w:t>
            </w:r>
          </w:p>
        </w:tc>
      </w:tr>
    </w:tbl>
    <w:p w:rsidR="000B609E" w:rsidRDefault="00B220E1">
      <w:pPr>
        <w:pStyle w:val="11"/>
        <w:numPr>
          <w:ilvl w:val="0"/>
          <w:numId w:val="41"/>
        </w:numPr>
        <w:spacing w:beforeLines="50" w:before="156" w:after="156" w:line="360" w:lineRule="auto"/>
        <w:ind w:left="0" w:firstLine="482"/>
        <w:rPr>
          <w:rFonts w:ascii="Times New Roman" w:hAnsi="Times New Roman" w:cs="Times New Roman"/>
          <w:b/>
          <w:bCs/>
          <w:sz w:val="24"/>
          <w:szCs w:val="24"/>
        </w:rPr>
      </w:pPr>
      <w:r>
        <w:rPr>
          <w:rFonts w:ascii="Times New Roman" w:hAnsi="Times New Roman" w:cs="Times New Roman"/>
          <w:b/>
          <w:bCs/>
          <w:sz w:val="24"/>
          <w:szCs w:val="24"/>
        </w:rPr>
        <w:t>Earnings</w:t>
      </w:r>
      <w:r>
        <w:rPr>
          <w:rFonts w:ascii="Times New Roman" w:hAnsi="Times New Roman" w:cs="Times New Roman" w:hint="eastAsia"/>
          <w:b/>
          <w:bCs/>
          <w:sz w:val="24"/>
          <w:szCs w:val="24"/>
        </w:rPr>
        <w:t xml:space="preserve"> per share</w:t>
      </w:r>
    </w:p>
    <w:tbl>
      <w:tblPr>
        <w:tblW w:w="9456" w:type="dxa"/>
        <w:tblInd w:w="-437" w:type="dxa"/>
        <w:tblLayout w:type="fixed"/>
        <w:tblLook w:val="04A0" w:firstRow="1" w:lastRow="0" w:firstColumn="1" w:lastColumn="0" w:noHBand="0" w:noVBand="1"/>
      </w:tblPr>
      <w:tblGrid>
        <w:gridCol w:w="3355"/>
        <w:gridCol w:w="2543"/>
        <w:gridCol w:w="1422"/>
        <w:gridCol w:w="2136"/>
      </w:tblGrid>
      <w:tr w:rsidR="000B609E">
        <w:trPr>
          <w:trHeight w:val="285"/>
        </w:trPr>
        <w:tc>
          <w:tcPr>
            <w:tcW w:w="3355" w:type="dxa"/>
            <w:vMerge w:val="restart"/>
            <w:tcBorders>
              <w:top w:val="double" w:sz="4" w:space="0" w:color="auto"/>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20</w:t>
            </w:r>
            <w:r>
              <w:rPr>
                <w:rFonts w:ascii="Times New Roman" w:eastAsia="宋体" w:hAnsi="Times New Roman" w:cs="Times New Roman" w:hint="eastAsia"/>
                <w:b/>
                <w:bCs/>
                <w:kern w:val="0"/>
                <w:sz w:val="18"/>
                <w:szCs w:val="18"/>
              </w:rPr>
              <w:t>20</w:t>
            </w:r>
          </w:p>
        </w:tc>
        <w:tc>
          <w:tcPr>
            <w:tcW w:w="2543" w:type="dxa"/>
            <w:vMerge w:val="restart"/>
            <w:tcBorders>
              <w:top w:val="double" w:sz="4" w:space="0" w:color="auto"/>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Weighted average return</w:t>
            </w:r>
          </w:p>
          <w:p w:rsidR="000B609E" w:rsidRDefault="00B220E1">
            <w:pPr>
              <w:spacing w:afterLines="0" w:after="0"/>
              <w:ind w:firstLineChars="50" w:firstLine="90"/>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on net assets (%)</w:t>
            </w:r>
          </w:p>
        </w:tc>
        <w:tc>
          <w:tcPr>
            <w:tcW w:w="3558" w:type="dxa"/>
            <w:gridSpan w:val="2"/>
            <w:tcBorders>
              <w:top w:val="doub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EPS(RMB)</w:t>
            </w:r>
          </w:p>
        </w:tc>
      </w:tr>
      <w:tr w:rsidR="000B609E">
        <w:trPr>
          <w:trHeight w:val="270"/>
        </w:trPr>
        <w:tc>
          <w:tcPr>
            <w:tcW w:w="3355" w:type="dxa"/>
            <w:vMerge/>
            <w:tcBorders>
              <w:top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kern w:val="0"/>
                <w:sz w:val="18"/>
                <w:szCs w:val="18"/>
              </w:rPr>
            </w:pPr>
          </w:p>
        </w:tc>
        <w:tc>
          <w:tcPr>
            <w:tcW w:w="2543" w:type="dxa"/>
            <w:vMerge/>
            <w:tcBorders>
              <w:top w:val="single" w:sz="4" w:space="0" w:color="auto"/>
              <w:left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kern w:val="0"/>
                <w:sz w:val="18"/>
                <w:szCs w:val="18"/>
              </w:rPr>
            </w:pPr>
          </w:p>
        </w:tc>
        <w:tc>
          <w:tcPr>
            <w:tcW w:w="142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Basic EPS</w:t>
            </w:r>
          </w:p>
        </w:tc>
        <w:tc>
          <w:tcPr>
            <w:tcW w:w="213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Diluted EPS</w:t>
            </w:r>
          </w:p>
        </w:tc>
      </w:tr>
      <w:tr w:rsidR="000B609E" w:rsidTr="00DF783A">
        <w:trPr>
          <w:trHeight w:hRule="exact" w:val="834"/>
        </w:trPr>
        <w:tc>
          <w:tcPr>
            <w:tcW w:w="3355"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Net profit for the year attributable to the holders of the Company’s ordinary shares</w:t>
            </w:r>
          </w:p>
        </w:tc>
        <w:tc>
          <w:tcPr>
            <w:tcW w:w="25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sz w:val="20"/>
                <w:szCs w:val="20"/>
              </w:rPr>
              <w:t>6.25</w:t>
            </w:r>
          </w:p>
        </w:tc>
        <w:tc>
          <w:tcPr>
            <w:tcW w:w="142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sz w:val="20"/>
                <w:szCs w:val="20"/>
              </w:rPr>
              <w:t>0.2517</w:t>
            </w:r>
          </w:p>
        </w:tc>
        <w:tc>
          <w:tcPr>
            <w:tcW w:w="2136" w:type="dxa"/>
            <w:tcBorders>
              <w:top w:val="nil"/>
              <w:left w:val="nil"/>
              <w:bottom w:val="sing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sz w:val="20"/>
                <w:szCs w:val="20"/>
              </w:rPr>
              <w:t>0.2517</w:t>
            </w:r>
          </w:p>
        </w:tc>
      </w:tr>
      <w:tr w:rsidR="000B609E">
        <w:trPr>
          <w:trHeight w:hRule="exact" w:val="907"/>
        </w:trPr>
        <w:tc>
          <w:tcPr>
            <w:tcW w:w="3355"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Net profit (deducting non-recurring gains and </w:t>
            </w:r>
            <w:proofErr w:type="gramStart"/>
            <w:r>
              <w:rPr>
                <w:rFonts w:ascii="Times New Roman" w:eastAsia="宋体" w:hAnsi="Times New Roman" w:cs="Times New Roman"/>
                <w:kern w:val="0"/>
                <w:sz w:val="18"/>
                <w:szCs w:val="18"/>
              </w:rPr>
              <w:t>losses)attributable</w:t>
            </w:r>
            <w:proofErr w:type="gramEnd"/>
            <w:r>
              <w:rPr>
                <w:rFonts w:ascii="Times New Roman" w:eastAsia="宋体" w:hAnsi="Times New Roman" w:cs="Times New Roman"/>
                <w:kern w:val="0"/>
                <w:sz w:val="18"/>
                <w:szCs w:val="18"/>
              </w:rPr>
              <w:t xml:space="preserve"> to the holders of the Company’s ordinary shares</w:t>
            </w:r>
          </w:p>
        </w:tc>
        <w:tc>
          <w:tcPr>
            <w:tcW w:w="25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sz w:val="20"/>
                <w:szCs w:val="20"/>
              </w:rPr>
              <w:t>6.17</w:t>
            </w:r>
          </w:p>
        </w:tc>
        <w:tc>
          <w:tcPr>
            <w:tcW w:w="142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sz w:val="20"/>
                <w:szCs w:val="20"/>
              </w:rPr>
              <w:t>0.2484</w:t>
            </w:r>
          </w:p>
        </w:tc>
        <w:tc>
          <w:tcPr>
            <w:tcW w:w="2136" w:type="dxa"/>
            <w:tcBorders>
              <w:top w:val="nil"/>
              <w:left w:val="nil"/>
              <w:bottom w:val="sing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sz w:val="20"/>
                <w:szCs w:val="20"/>
              </w:rPr>
              <w:t>0.2484</w:t>
            </w:r>
          </w:p>
        </w:tc>
      </w:tr>
      <w:tr w:rsidR="000B609E" w:rsidTr="00DF783A">
        <w:trPr>
          <w:trHeight w:hRule="exact" w:val="518"/>
        </w:trPr>
        <w:tc>
          <w:tcPr>
            <w:tcW w:w="3355" w:type="dxa"/>
            <w:vMerge w:val="restart"/>
            <w:tcBorders>
              <w:top w:val="nil"/>
              <w:bottom w:val="single" w:sz="4" w:space="0" w:color="auto"/>
              <w:right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201</w:t>
            </w:r>
            <w:r>
              <w:rPr>
                <w:rFonts w:ascii="Times New Roman" w:eastAsia="宋体" w:hAnsi="Times New Roman" w:cs="Times New Roman" w:hint="eastAsia"/>
                <w:b/>
                <w:bCs/>
                <w:kern w:val="0"/>
                <w:sz w:val="18"/>
                <w:szCs w:val="18"/>
              </w:rPr>
              <w:t>9</w:t>
            </w:r>
          </w:p>
        </w:tc>
        <w:tc>
          <w:tcPr>
            <w:tcW w:w="2543" w:type="dxa"/>
            <w:vMerge w:val="restart"/>
            <w:tcBorders>
              <w:top w:val="nil"/>
              <w:left w:val="single" w:sz="4" w:space="0" w:color="auto"/>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Weighted average return</w:t>
            </w:r>
          </w:p>
          <w:p w:rsidR="000B609E" w:rsidRDefault="00B220E1">
            <w:pPr>
              <w:spacing w:afterLines="0" w:after="0"/>
              <w:ind w:firstLineChars="0" w:firstLine="0"/>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on net assets (%)</w:t>
            </w:r>
          </w:p>
        </w:tc>
        <w:tc>
          <w:tcPr>
            <w:tcW w:w="3558" w:type="dxa"/>
            <w:gridSpan w:val="2"/>
            <w:tcBorders>
              <w:top w:val="single" w:sz="4" w:space="0" w:color="auto"/>
              <w:left w:val="nil"/>
              <w:bottom w:val="single" w:sz="4" w:space="0" w:color="auto"/>
            </w:tcBorders>
            <w:shd w:val="clear" w:color="auto" w:fill="auto"/>
            <w:vAlign w:val="center"/>
          </w:tcPr>
          <w:p w:rsidR="000B609E" w:rsidRDefault="00B220E1">
            <w:pPr>
              <w:spacing w:afterLines="0" w:after="0"/>
              <w:ind w:firstLine="361"/>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EPS(RMB)</w:t>
            </w:r>
          </w:p>
        </w:tc>
      </w:tr>
      <w:tr w:rsidR="000B609E" w:rsidTr="00DF783A">
        <w:trPr>
          <w:trHeight w:hRule="exact" w:val="495"/>
        </w:trPr>
        <w:tc>
          <w:tcPr>
            <w:tcW w:w="3355" w:type="dxa"/>
            <w:vMerge/>
            <w:tcBorders>
              <w:top w:val="nil"/>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kern w:val="0"/>
                <w:sz w:val="18"/>
                <w:szCs w:val="18"/>
              </w:rPr>
            </w:pPr>
          </w:p>
        </w:tc>
        <w:tc>
          <w:tcPr>
            <w:tcW w:w="2543" w:type="dxa"/>
            <w:vMerge/>
            <w:tcBorders>
              <w:top w:val="nil"/>
              <w:left w:val="single" w:sz="4" w:space="0" w:color="auto"/>
              <w:bottom w:val="single" w:sz="4" w:space="0" w:color="auto"/>
              <w:right w:val="single" w:sz="4" w:space="0" w:color="auto"/>
            </w:tcBorders>
            <w:vAlign w:val="center"/>
          </w:tcPr>
          <w:p w:rsidR="000B609E" w:rsidRDefault="000B609E">
            <w:pPr>
              <w:spacing w:afterLines="0" w:after="0"/>
              <w:ind w:firstLine="361"/>
              <w:jc w:val="center"/>
              <w:rPr>
                <w:rFonts w:ascii="Times New Roman" w:eastAsia="宋体" w:hAnsi="Times New Roman" w:cs="Times New Roman"/>
                <w:b/>
                <w:bCs/>
                <w:kern w:val="0"/>
                <w:sz w:val="18"/>
                <w:szCs w:val="18"/>
              </w:rPr>
            </w:pPr>
          </w:p>
        </w:tc>
        <w:tc>
          <w:tcPr>
            <w:tcW w:w="142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Basic EPS</w:t>
            </w:r>
          </w:p>
        </w:tc>
        <w:tc>
          <w:tcPr>
            <w:tcW w:w="2136" w:type="dxa"/>
            <w:tcBorders>
              <w:top w:val="nil"/>
              <w:left w:val="nil"/>
              <w:bottom w:val="single" w:sz="4" w:space="0" w:color="auto"/>
            </w:tcBorders>
            <w:shd w:val="clear" w:color="auto" w:fill="auto"/>
            <w:vAlign w:val="center"/>
          </w:tcPr>
          <w:p w:rsidR="000B609E" w:rsidRDefault="00B220E1">
            <w:pPr>
              <w:spacing w:afterLines="0" w:after="0"/>
              <w:ind w:firstLineChars="0" w:firstLine="0"/>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Diluted EPS</w:t>
            </w:r>
          </w:p>
        </w:tc>
      </w:tr>
      <w:tr w:rsidR="000B609E">
        <w:trPr>
          <w:trHeight w:hRule="exact" w:val="907"/>
        </w:trPr>
        <w:tc>
          <w:tcPr>
            <w:tcW w:w="3355" w:type="dxa"/>
            <w:tcBorders>
              <w:top w:val="nil"/>
              <w:bottom w:val="sing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Net profit for the year attributable to the holders of the Company’s ordinary shares</w:t>
            </w:r>
          </w:p>
        </w:tc>
        <w:tc>
          <w:tcPr>
            <w:tcW w:w="2543"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hint="eastAsia"/>
                <w:sz w:val="20"/>
                <w:szCs w:val="20"/>
              </w:rPr>
              <w:t>8.50</w:t>
            </w:r>
          </w:p>
        </w:tc>
        <w:tc>
          <w:tcPr>
            <w:tcW w:w="1422" w:type="dxa"/>
            <w:tcBorders>
              <w:top w:val="nil"/>
              <w:left w:val="nil"/>
              <w:bottom w:val="single" w:sz="4" w:space="0" w:color="auto"/>
              <w:right w:val="sing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hint="eastAsia"/>
                <w:sz w:val="20"/>
                <w:szCs w:val="20"/>
              </w:rPr>
              <w:t>0.</w:t>
            </w:r>
            <w:r w:rsidR="00881AD9">
              <w:rPr>
                <w:rFonts w:ascii="Arial Narrow" w:hAnsi="Arial Narrow" w:cs="宋体"/>
                <w:sz w:val="20"/>
                <w:szCs w:val="20"/>
              </w:rPr>
              <w:t>2786</w:t>
            </w:r>
          </w:p>
        </w:tc>
        <w:tc>
          <w:tcPr>
            <w:tcW w:w="2136" w:type="dxa"/>
            <w:tcBorders>
              <w:top w:val="nil"/>
              <w:left w:val="nil"/>
              <w:bottom w:val="sing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hint="eastAsia"/>
                <w:sz w:val="20"/>
                <w:szCs w:val="20"/>
              </w:rPr>
              <w:t>0.</w:t>
            </w:r>
            <w:r w:rsidR="00881AD9">
              <w:rPr>
                <w:rFonts w:ascii="Arial Narrow" w:hAnsi="Arial Narrow" w:cs="宋体"/>
                <w:sz w:val="20"/>
                <w:szCs w:val="20"/>
              </w:rPr>
              <w:t>2786</w:t>
            </w:r>
          </w:p>
        </w:tc>
      </w:tr>
      <w:tr w:rsidR="000B609E">
        <w:trPr>
          <w:trHeight w:hRule="exact" w:val="1361"/>
        </w:trPr>
        <w:tc>
          <w:tcPr>
            <w:tcW w:w="3355" w:type="dxa"/>
            <w:tcBorders>
              <w:top w:val="nil"/>
              <w:bottom w:val="double" w:sz="4" w:space="0" w:color="auto"/>
              <w:right w:val="single" w:sz="4" w:space="0" w:color="auto"/>
            </w:tcBorders>
            <w:shd w:val="clear" w:color="auto" w:fill="auto"/>
            <w:vAlign w:val="center"/>
          </w:tcPr>
          <w:p w:rsidR="000B609E" w:rsidRDefault="00B220E1">
            <w:pPr>
              <w:spacing w:afterLines="0" w:after="0"/>
              <w:ind w:firstLineChars="0" w:firstLine="0"/>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Net profit (deducting non-recurring gains and </w:t>
            </w:r>
            <w:proofErr w:type="gramStart"/>
            <w:r>
              <w:rPr>
                <w:rFonts w:ascii="Times New Roman" w:eastAsia="宋体" w:hAnsi="Times New Roman" w:cs="Times New Roman"/>
                <w:kern w:val="0"/>
                <w:sz w:val="18"/>
                <w:szCs w:val="18"/>
              </w:rPr>
              <w:t>losses)attributable</w:t>
            </w:r>
            <w:proofErr w:type="gramEnd"/>
            <w:r>
              <w:rPr>
                <w:rFonts w:ascii="Times New Roman" w:eastAsia="宋体" w:hAnsi="Times New Roman" w:cs="Times New Roman"/>
                <w:kern w:val="0"/>
                <w:sz w:val="18"/>
                <w:szCs w:val="18"/>
              </w:rPr>
              <w:t xml:space="preserve"> to the holders of the Company’s ordinary shares </w:t>
            </w:r>
          </w:p>
        </w:tc>
        <w:tc>
          <w:tcPr>
            <w:tcW w:w="2543"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hint="eastAsia"/>
                <w:sz w:val="20"/>
                <w:szCs w:val="20"/>
              </w:rPr>
              <w:t>8.56</w:t>
            </w:r>
          </w:p>
        </w:tc>
        <w:tc>
          <w:tcPr>
            <w:tcW w:w="1422" w:type="dxa"/>
            <w:tcBorders>
              <w:top w:val="nil"/>
              <w:left w:val="nil"/>
              <w:bottom w:val="double" w:sz="4" w:space="0" w:color="auto"/>
              <w:right w:val="sing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hint="eastAsia"/>
                <w:sz w:val="20"/>
                <w:szCs w:val="20"/>
              </w:rPr>
              <w:t>0.</w:t>
            </w:r>
            <w:r w:rsidR="00881AD9">
              <w:rPr>
                <w:rFonts w:ascii="Arial Narrow" w:hAnsi="Arial Narrow" w:cs="宋体"/>
                <w:sz w:val="20"/>
                <w:szCs w:val="20"/>
              </w:rPr>
              <w:t>28</w:t>
            </w:r>
            <w:r>
              <w:rPr>
                <w:rFonts w:ascii="Arial Narrow" w:hAnsi="Arial Narrow" w:cs="宋体" w:hint="eastAsia"/>
                <w:sz w:val="20"/>
                <w:szCs w:val="20"/>
              </w:rPr>
              <w:t>0</w:t>
            </w:r>
            <w:r w:rsidR="00881AD9">
              <w:rPr>
                <w:rFonts w:ascii="Arial Narrow" w:hAnsi="Arial Narrow" w:cs="宋体"/>
                <w:sz w:val="20"/>
                <w:szCs w:val="20"/>
              </w:rPr>
              <w:t>6</w:t>
            </w:r>
          </w:p>
        </w:tc>
        <w:tc>
          <w:tcPr>
            <w:tcW w:w="2136" w:type="dxa"/>
            <w:tcBorders>
              <w:top w:val="nil"/>
              <w:left w:val="nil"/>
              <w:bottom w:val="double" w:sz="4" w:space="0" w:color="auto"/>
            </w:tcBorders>
            <w:shd w:val="clear" w:color="auto" w:fill="auto"/>
            <w:vAlign w:val="center"/>
          </w:tcPr>
          <w:p w:rsidR="000B609E" w:rsidRDefault="00B220E1">
            <w:pPr>
              <w:spacing w:afterLines="0" w:after="0"/>
              <w:ind w:firstLine="400"/>
              <w:jc w:val="center"/>
              <w:rPr>
                <w:rFonts w:ascii="Arial Narrow" w:hAnsi="Arial Narrow" w:cs="宋体"/>
                <w:sz w:val="20"/>
                <w:szCs w:val="20"/>
              </w:rPr>
            </w:pPr>
            <w:r>
              <w:rPr>
                <w:rFonts w:ascii="Arial Narrow" w:hAnsi="Arial Narrow" w:cs="宋体" w:hint="eastAsia"/>
                <w:sz w:val="20"/>
                <w:szCs w:val="20"/>
              </w:rPr>
              <w:t>0.</w:t>
            </w:r>
            <w:r w:rsidR="00881AD9">
              <w:rPr>
                <w:rFonts w:ascii="Arial Narrow" w:hAnsi="Arial Narrow" w:cs="宋体"/>
                <w:sz w:val="20"/>
                <w:szCs w:val="20"/>
              </w:rPr>
              <w:t>2806</w:t>
            </w:r>
          </w:p>
        </w:tc>
      </w:tr>
    </w:tbl>
    <w:p w:rsidR="000B609E" w:rsidRDefault="00B220E1">
      <w:pPr>
        <w:pStyle w:val="1"/>
        <w:spacing w:beforeLines="50" w:before="156" w:after="10" w:line="360" w:lineRule="auto"/>
        <w:ind w:leftChars="200" w:left="420" w:firstLineChars="0" w:firstLine="0"/>
        <w:rPr>
          <w:rFonts w:ascii="Times New Roman" w:hAnsi="Times New Roman" w:cs="Times New Roman"/>
          <w:b w:val="0"/>
          <w:bCs/>
          <w:sz w:val="24"/>
          <w:szCs w:val="24"/>
        </w:rPr>
      </w:pPr>
      <w:r>
        <w:rPr>
          <w:rFonts w:ascii="Times New Roman" w:hAnsi="Times New Roman" w:cs="Times New Roman" w:hint="eastAsia"/>
          <w:b w:val="0"/>
          <w:bCs/>
          <w:sz w:val="24"/>
          <w:szCs w:val="24"/>
        </w:rPr>
        <w:lastRenderedPageBreak/>
        <w:t>Note</w:t>
      </w:r>
      <w:r>
        <w:rPr>
          <w:rFonts w:ascii="Times New Roman" w:hAnsi="Times New Roman" w:cs="Times New Roman"/>
          <w:b w:val="0"/>
          <w:bCs/>
          <w:sz w:val="24"/>
          <w:szCs w:val="24"/>
        </w:rPr>
        <w:t>: On the 28</w:t>
      </w:r>
      <w:r>
        <w:rPr>
          <w:rFonts w:ascii="Times New Roman" w:hAnsi="Times New Roman" w:cs="Times New Roman"/>
          <w:b w:val="0"/>
          <w:bCs/>
          <w:sz w:val="24"/>
          <w:szCs w:val="24"/>
          <w:vertAlign w:val="superscript"/>
        </w:rPr>
        <w:t>th</w:t>
      </w:r>
      <w:r>
        <w:rPr>
          <w:rFonts w:ascii="Times New Roman" w:hAnsi="Times New Roman" w:cs="Times New Roman"/>
          <w:b w:val="0"/>
          <w:bCs/>
          <w:sz w:val="24"/>
          <w:szCs w:val="24"/>
        </w:rPr>
        <w:t xml:space="preserve"> of May 2020, the eleventh general meeting of shareholders passed the resolution of the proposal about increasing capital surplus from retained earnings, agreeing to send 0.8 shares for every 10 shares from capital surplus to share capital of 64 million yuan, and the registered capital surplus increased from 800 million yuan to 864 million yuan. The basic earnings per share and the diluted earnings per share have been recalculated.</w:t>
      </w:r>
    </w:p>
    <w:p w:rsidR="000B609E" w:rsidRDefault="00B220E1">
      <w:pPr>
        <w:pStyle w:val="1"/>
        <w:numPr>
          <w:ilvl w:val="0"/>
          <w:numId w:val="11"/>
        </w:numPr>
        <w:spacing w:beforeLines="50" w:before="156" w:after="10" w:line="360" w:lineRule="auto"/>
        <w:ind w:left="0" w:firstLine="482"/>
        <w:rPr>
          <w:rFonts w:ascii="Times New Roman" w:hAnsi="Times New Roman" w:cs="Times New Roman"/>
          <w:sz w:val="24"/>
          <w:szCs w:val="24"/>
        </w:rPr>
      </w:pPr>
      <w:r>
        <w:rPr>
          <w:rFonts w:ascii="Times New Roman" w:hAnsi="Times New Roman" w:cs="Times New Roman" w:hint="eastAsia"/>
          <w:sz w:val="24"/>
          <w:szCs w:val="24"/>
        </w:rPr>
        <w:t>ANTI-MONEY LAUNDERING</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According to the requirements, </w:t>
      </w:r>
      <w:proofErr w:type="spellStart"/>
      <w:r>
        <w:rPr>
          <w:rFonts w:ascii="Times New Roman" w:hAnsi="Times New Roman" w:cs="Times New Roman"/>
          <w:sz w:val="24"/>
          <w:szCs w:val="24"/>
        </w:rPr>
        <w:t>Jiangyan</w:t>
      </w:r>
      <w:proofErr w:type="spellEnd"/>
      <w:r>
        <w:rPr>
          <w:rFonts w:ascii="Times New Roman" w:hAnsi="Times New Roman" w:cs="Times New Roman"/>
          <w:sz w:val="24"/>
          <w:szCs w:val="24"/>
        </w:rPr>
        <w:t xml:space="preserve"> Rural Commercial Bank set up a leading group which reports directly to the board of directors and released some relevant policies like "Internal responsibilities of Jiangsu </w:t>
      </w:r>
      <w:proofErr w:type="spellStart"/>
      <w:r>
        <w:rPr>
          <w:rFonts w:ascii="Times New Roman" w:hAnsi="Times New Roman" w:cs="Times New Roman"/>
          <w:sz w:val="24"/>
          <w:szCs w:val="24"/>
        </w:rPr>
        <w:t>Jiangyan</w:t>
      </w:r>
      <w:proofErr w:type="spellEnd"/>
      <w:r>
        <w:rPr>
          <w:rFonts w:ascii="Times New Roman" w:hAnsi="Times New Roman" w:cs="Times New Roman"/>
          <w:sz w:val="24"/>
          <w:szCs w:val="24"/>
        </w:rPr>
        <w:t xml:space="preserve"> Rural Commercial Bank Co., Ltd. for anti-money laundering work ". Compliance Management Department is continually concerned for the changes in laws and regulations for anti-money laundering. Thus, senior executive of the bank can always follow these relevant laws and regulations. The Operations Management Department is responsible for the anti-money laundering work. The bank established business relations to customers based on the bank accounts and others, and carrying out the customer identification by these relevant businesses. The anti-money laundering work platform is used for submitting the report of the large amount and suspicious transactions. Meanwhile, the organizational structure of the bank is in line with the relevant requirements of the People's Bank of China and the China Banking Regulatory Commission. </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In the audit, we mainly rely on the current financial laws, regulations of the higher authorities (the People's Bank, the regulatory authorities), "Internal responsibilities of Jiangsu </w:t>
      </w:r>
      <w:proofErr w:type="spellStart"/>
      <w:r>
        <w:rPr>
          <w:rFonts w:ascii="Times New Roman" w:hAnsi="Times New Roman" w:cs="Times New Roman"/>
          <w:sz w:val="24"/>
          <w:szCs w:val="24"/>
        </w:rPr>
        <w:t>Jiangyan</w:t>
      </w:r>
      <w:proofErr w:type="spellEnd"/>
      <w:r>
        <w:rPr>
          <w:rFonts w:ascii="Times New Roman" w:hAnsi="Times New Roman" w:cs="Times New Roman"/>
          <w:sz w:val="24"/>
          <w:szCs w:val="24"/>
        </w:rPr>
        <w:t xml:space="preserve"> Rural Commercial Bank Co., Ltd. for anti-money laundering work", and other international stipulations.</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anti-money laundering work was valued by the senior management of the bank; it has been </w:t>
      </w:r>
      <w:proofErr w:type="gramStart"/>
      <w:r>
        <w:rPr>
          <w:rFonts w:ascii="Times New Roman" w:hAnsi="Times New Roman" w:cs="Times New Roman"/>
          <w:sz w:val="24"/>
          <w:szCs w:val="24"/>
        </w:rPr>
        <w:t>incorporate</w:t>
      </w:r>
      <w:proofErr w:type="gramEnd"/>
      <w:r>
        <w:rPr>
          <w:rFonts w:ascii="Times New Roman" w:hAnsi="Times New Roman" w:cs="Times New Roman"/>
          <w:sz w:val="24"/>
          <w:szCs w:val="24"/>
        </w:rPr>
        <w:t xml:space="preserve"> into compliance management. For anti-money </w:t>
      </w:r>
      <w:r>
        <w:rPr>
          <w:rFonts w:ascii="Times New Roman" w:hAnsi="Times New Roman" w:cs="Times New Roman"/>
          <w:sz w:val="24"/>
          <w:szCs w:val="24"/>
        </w:rPr>
        <w:lastRenderedPageBreak/>
        <w:t xml:space="preserve">laundering work, the bank trained staff; established an internal control system and a detection system for large amount or suspicious transaction. </w:t>
      </w:r>
      <w:proofErr w:type="spellStart"/>
      <w:r>
        <w:rPr>
          <w:rFonts w:ascii="Times New Roman" w:hAnsi="Times New Roman" w:cs="Times New Roman"/>
          <w:sz w:val="24"/>
          <w:szCs w:val="24"/>
        </w:rPr>
        <w:t>Jiangyan</w:t>
      </w:r>
      <w:proofErr w:type="spellEnd"/>
      <w:r>
        <w:rPr>
          <w:rFonts w:ascii="Times New Roman" w:hAnsi="Times New Roman" w:cs="Times New Roman"/>
          <w:sz w:val="24"/>
          <w:szCs w:val="24"/>
        </w:rPr>
        <w:t xml:space="preserve"> Rural Commercial Bank's anti-money laundering internal control system can cover the following: customer identification, customer risk level control, transaction object monitoring, transaction amount screening, recording of transaction, reporting and verification of suspicious matters, internal training and external publicity, internal audit and external evaluation of the effectiveness and implementation of the anti-money laundering policy. During the reporting period, </w:t>
      </w:r>
      <w:proofErr w:type="spellStart"/>
      <w:r>
        <w:rPr>
          <w:rFonts w:ascii="Times New Roman" w:hAnsi="Times New Roman" w:cs="Times New Roman"/>
          <w:sz w:val="24"/>
          <w:szCs w:val="24"/>
        </w:rPr>
        <w:t>Jiangyan</w:t>
      </w:r>
      <w:proofErr w:type="spellEnd"/>
      <w:r>
        <w:rPr>
          <w:rFonts w:ascii="Times New Roman" w:hAnsi="Times New Roman" w:cs="Times New Roman"/>
          <w:sz w:val="24"/>
          <w:szCs w:val="24"/>
        </w:rPr>
        <w:t xml:space="preserve"> Rural Commercial Bank can collect report data and report it in time; No account of the bank’s customers was found in the list of anti-money laundering and anti-terrorism financing monitoring; The bank and its employees were never be involved in the money laundering and financing for terrorism activities. The defects in implementation of anti-money laundering internal policy: the ability to use computer systems for data model analysis and monitoring is not strong; employee’s ability of identification need to be improved; responsibility and incentives are not equal. </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On the whole, internal control system of the bank for anti-money laundering is effective.</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Recommendations for anti-money laundering work: (1) Improve the operability of computer system data modeling</w:t>
      </w:r>
      <w:r>
        <w:rPr>
          <w:rFonts w:ascii="Times New Roman" w:hAnsi="Times New Roman" w:cs="Times New Roman" w:hint="eastAsia"/>
          <w:sz w:val="24"/>
          <w:szCs w:val="24"/>
        </w:rPr>
        <w:t xml:space="preserve">; </w:t>
      </w:r>
      <w:r>
        <w:rPr>
          <w:rFonts w:ascii="Times New Roman" w:hAnsi="Times New Roman" w:cs="Times New Roman"/>
          <w:sz w:val="24"/>
          <w:szCs w:val="24"/>
        </w:rPr>
        <w:t>(2) Provide more and high-level training for relevant employees and state their responsibility in detail.</w:t>
      </w:r>
      <w:r>
        <w:rPr>
          <w:rFonts w:ascii="Times New Roman" w:hAnsi="Times New Roman" w:cs="Times New Roman" w:hint="eastAsia"/>
          <w:sz w:val="24"/>
          <w:szCs w:val="24"/>
        </w:rPr>
        <w:t xml:space="preserve"> </w:t>
      </w:r>
    </w:p>
    <w:p w:rsidR="000B609E" w:rsidRDefault="00B220E1">
      <w:pPr>
        <w:pStyle w:val="1"/>
        <w:numPr>
          <w:ilvl w:val="0"/>
          <w:numId w:val="11"/>
        </w:numPr>
        <w:spacing w:before="0" w:after="10" w:line="360" w:lineRule="auto"/>
        <w:ind w:left="0" w:firstLine="482"/>
        <w:rPr>
          <w:rFonts w:ascii="Times New Roman" w:hAnsi="Times New Roman" w:cs="Times New Roman"/>
          <w:sz w:val="24"/>
          <w:szCs w:val="24"/>
        </w:rPr>
      </w:pPr>
      <w:r>
        <w:rPr>
          <w:rFonts w:ascii="Times New Roman" w:hAnsi="Times New Roman" w:cs="Times New Roman"/>
          <w:sz w:val="24"/>
          <w:szCs w:val="24"/>
        </w:rPr>
        <w:t>APPROVAL OF FINANCIAL STATEMNET</w:t>
      </w:r>
    </w:p>
    <w:p w:rsidR="000B609E" w:rsidRDefault="00B220E1">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financial statements have been approved by the Board of Directors.</w:t>
      </w:r>
    </w:p>
    <w:p w:rsidR="000B609E" w:rsidRDefault="000B609E">
      <w:pPr>
        <w:spacing w:after="156" w:line="360" w:lineRule="auto"/>
        <w:ind w:firstLine="480"/>
        <w:rPr>
          <w:rFonts w:ascii="Times New Roman" w:hAnsi="Times New Roman" w:cs="Times New Roman"/>
          <w:sz w:val="24"/>
          <w:szCs w:val="24"/>
        </w:rPr>
      </w:pPr>
    </w:p>
    <w:p w:rsidR="000B609E" w:rsidRDefault="000B609E">
      <w:pPr>
        <w:spacing w:after="156" w:line="360" w:lineRule="auto"/>
        <w:ind w:right="480" w:firstLineChars="0" w:firstLine="0"/>
        <w:rPr>
          <w:rFonts w:ascii="Times New Roman" w:hAnsi="Times New Roman" w:cs="Times New Roman"/>
          <w:sz w:val="24"/>
          <w:szCs w:val="24"/>
        </w:rPr>
      </w:pPr>
    </w:p>
    <w:p w:rsidR="000B609E" w:rsidRDefault="00B220E1">
      <w:pPr>
        <w:spacing w:after="156" w:line="360" w:lineRule="auto"/>
        <w:ind w:firstLine="480"/>
        <w:jc w:val="right"/>
        <w:rPr>
          <w:rFonts w:ascii="Times New Roman" w:hAnsi="Times New Roman" w:cs="Times New Roman"/>
          <w:sz w:val="24"/>
          <w:szCs w:val="24"/>
        </w:rPr>
      </w:pPr>
      <w:r>
        <w:rPr>
          <w:rFonts w:ascii="Times New Roman" w:hAnsi="Times New Roman" w:cs="Times New Roman"/>
          <w:sz w:val="24"/>
          <w:szCs w:val="24"/>
        </w:rPr>
        <w:t xml:space="preserve">Jiangsu </w:t>
      </w:r>
      <w:proofErr w:type="spellStart"/>
      <w:r>
        <w:rPr>
          <w:rFonts w:ascii="Times New Roman" w:hAnsi="Times New Roman" w:cs="Times New Roman"/>
          <w:sz w:val="24"/>
          <w:szCs w:val="24"/>
        </w:rPr>
        <w:t>JiangYan</w:t>
      </w:r>
      <w:proofErr w:type="spellEnd"/>
      <w:r>
        <w:rPr>
          <w:rFonts w:ascii="Times New Roman" w:hAnsi="Times New Roman" w:cs="Times New Roman"/>
          <w:sz w:val="24"/>
          <w:szCs w:val="24"/>
        </w:rPr>
        <w:t xml:space="preserve"> Rural Commercial Bank Co., Ltd.</w:t>
      </w:r>
    </w:p>
    <w:p w:rsidR="000B609E" w:rsidRDefault="00B220E1">
      <w:pPr>
        <w:spacing w:after="156" w:line="360" w:lineRule="auto"/>
        <w:ind w:firstLine="480"/>
        <w:jc w:val="right"/>
        <w:rPr>
          <w:rFonts w:ascii="Times New Roman" w:hAnsi="Times New Roman" w:cs="Times New Roman"/>
          <w:sz w:val="24"/>
          <w:szCs w:val="24"/>
        </w:rPr>
      </w:pPr>
      <w:r>
        <w:rPr>
          <w:rFonts w:ascii="Times New Roman" w:hAnsi="Times New Roman" w:cs="Times New Roman" w:hint="eastAsia"/>
          <w:sz w:val="24"/>
          <w:szCs w:val="24"/>
        </w:rPr>
        <w:t>April 20, 2021</w:t>
      </w:r>
    </w:p>
    <w:sectPr w:rsidR="000B609E">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9"/>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BFB" w:rsidRDefault="00036BFB">
      <w:pPr>
        <w:spacing w:after="120"/>
        <w:ind w:firstLine="420"/>
      </w:pPr>
      <w:r>
        <w:separator/>
      </w:r>
    </w:p>
  </w:endnote>
  <w:endnote w:type="continuationSeparator" w:id="0">
    <w:p w:rsidR="00036BFB" w:rsidRDefault="00036BFB">
      <w:pPr>
        <w:spacing w:after="120"/>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09E" w:rsidRDefault="000B609E">
    <w:pPr>
      <w:pStyle w:val="afb"/>
      <w:spacing w:after="12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4836515"/>
    </w:sdtPr>
    <w:sdtEndPr>
      <w:rPr>
        <w:rFonts w:ascii="Times New Roman" w:hAnsi="Times New Roman" w:cs="Times New Roman"/>
      </w:rPr>
    </w:sdtEndPr>
    <w:sdtContent>
      <w:p w:rsidR="000B609E" w:rsidRDefault="000B609E">
        <w:pPr>
          <w:pStyle w:val="afb"/>
          <w:spacing w:after="120"/>
          <w:ind w:firstLine="360"/>
          <w:jc w:val="center"/>
        </w:pPr>
      </w:p>
      <w:p w:rsidR="000B609E" w:rsidRDefault="00B220E1">
        <w:pPr>
          <w:pStyle w:val="afb"/>
          <w:spacing w:after="120"/>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119</w:t>
        </w:r>
        <w:r>
          <w:rPr>
            <w:rFonts w:ascii="Times New Roman" w:hAnsi="Times New Roman" w:cs="Times New Roman"/>
          </w:rPr>
          <w:fldChar w:fldCharType="end"/>
        </w:r>
      </w:p>
    </w:sdtContent>
  </w:sdt>
  <w:p w:rsidR="000B609E" w:rsidRDefault="000B609E">
    <w:pPr>
      <w:pStyle w:val="afb"/>
      <w:spacing w:after="12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09E" w:rsidRDefault="000B609E">
    <w:pPr>
      <w:pStyle w:val="afb"/>
      <w:spacing w:after="12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BFB" w:rsidRDefault="00036BFB">
      <w:pPr>
        <w:spacing w:after="120"/>
        <w:ind w:firstLine="420"/>
      </w:pPr>
      <w:r>
        <w:separator/>
      </w:r>
    </w:p>
  </w:footnote>
  <w:footnote w:type="continuationSeparator" w:id="0">
    <w:p w:rsidR="00036BFB" w:rsidRDefault="00036BFB">
      <w:pPr>
        <w:spacing w:after="120"/>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09E" w:rsidRDefault="000B609E">
    <w:pPr>
      <w:pStyle w:val="afe"/>
      <w:spacing w:after="12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09E" w:rsidRDefault="000B609E">
    <w:pPr>
      <w:pStyle w:val="afe"/>
      <w:spacing w:after="120"/>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09E" w:rsidRDefault="000B609E">
    <w:pPr>
      <w:pStyle w:val="afe"/>
      <w:spacing w:after="12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A9370C"/>
    <w:multiLevelType w:val="singleLevel"/>
    <w:tmpl w:val="95A9370C"/>
    <w:lvl w:ilvl="0">
      <w:start w:val="8"/>
      <w:numFmt w:val="decimal"/>
      <w:lvlText w:val="%1."/>
      <w:lvlJc w:val="left"/>
      <w:pPr>
        <w:tabs>
          <w:tab w:val="left" w:pos="312"/>
        </w:tabs>
      </w:pPr>
    </w:lvl>
  </w:abstractNum>
  <w:abstractNum w:abstractNumId="1" w15:restartNumberingAfterBreak="0">
    <w:nsid w:val="0A1444F8"/>
    <w:multiLevelType w:val="multilevel"/>
    <w:tmpl w:val="0A1444F8"/>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 w15:restartNumberingAfterBreak="0">
    <w:nsid w:val="13380445"/>
    <w:multiLevelType w:val="multilevel"/>
    <w:tmpl w:val="13380445"/>
    <w:lvl w:ilvl="0">
      <w:start w:val="1"/>
      <w:numFmt w:val="decimal"/>
      <w:lvlText w:val="(%1)"/>
      <w:lvlJc w:val="left"/>
      <w:pPr>
        <w:ind w:left="480" w:hanging="360"/>
      </w:pPr>
      <w:rPr>
        <w:rFonts w:hint="default"/>
      </w:r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abstractNum w:abstractNumId="3" w15:restartNumberingAfterBreak="0">
    <w:nsid w:val="1542388C"/>
    <w:multiLevelType w:val="multilevel"/>
    <w:tmpl w:val="1542388C"/>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165273EA"/>
    <w:multiLevelType w:val="multilevel"/>
    <w:tmpl w:val="165273EA"/>
    <w:lvl w:ilvl="0">
      <w:start w:val="1"/>
      <w:numFmt w:val="decimal"/>
      <w:lvlText w:val="%1."/>
      <w:lvlJc w:val="left"/>
      <w:pPr>
        <w:ind w:left="1080" w:hanging="360"/>
      </w:pPr>
      <w:rPr>
        <w:rFonts w:hint="eastAsia"/>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5" w15:restartNumberingAfterBreak="0">
    <w:nsid w:val="173C081A"/>
    <w:multiLevelType w:val="multilevel"/>
    <w:tmpl w:val="173C081A"/>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6" w15:restartNumberingAfterBreak="0">
    <w:nsid w:val="1971443F"/>
    <w:multiLevelType w:val="multilevel"/>
    <w:tmpl w:val="1971443F"/>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7" w15:restartNumberingAfterBreak="0">
    <w:nsid w:val="1BE25AC8"/>
    <w:multiLevelType w:val="multilevel"/>
    <w:tmpl w:val="1BE25AC8"/>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1E61BD6A"/>
    <w:multiLevelType w:val="singleLevel"/>
    <w:tmpl w:val="4CD28BA8"/>
    <w:lvl w:ilvl="0">
      <w:start w:val="20"/>
      <w:numFmt w:val="decimal"/>
      <w:suff w:val="space"/>
      <w:lvlText w:val="%1."/>
      <w:lvlJc w:val="left"/>
      <w:rPr>
        <w:sz w:val="24"/>
        <w:szCs w:val="24"/>
      </w:rPr>
    </w:lvl>
  </w:abstractNum>
  <w:abstractNum w:abstractNumId="9" w15:restartNumberingAfterBreak="0">
    <w:nsid w:val="33520656"/>
    <w:multiLevelType w:val="singleLevel"/>
    <w:tmpl w:val="33520656"/>
    <w:lvl w:ilvl="0">
      <w:start w:val="1"/>
      <w:numFmt w:val="decimal"/>
      <w:suff w:val="space"/>
      <w:lvlText w:val="(%1)"/>
      <w:lvlJc w:val="left"/>
      <w:rPr>
        <w:rFonts w:ascii="Times New Roman" w:eastAsiaTheme="minorEastAsia" w:hAnsi="Times New Roman" w:cs="Times New Roman"/>
      </w:rPr>
    </w:lvl>
  </w:abstractNum>
  <w:abstractNum w:abstractNumId="10" w15:restartNumberingAfterBreak="0">
    <w:nsid w:val="35110411"/>
    <w:multiLevelType w:val="multilevel"/>
    <w:tmpl w:val="35110411"/>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1" w15:restartNumberingAfterBreak="0">
    <w:nsid w:val="35B93FB2"/>
    <w:multiLevelType w:val="multilevel"/>
    <w:tmpl w:val="35B93FB2"/>
    <w:lvl w:ilvl="0">
      <w:start w:val="1"/>
      <w:numFmt w:val="decimal"/>
      <w:lvlText w:val="%1."/>
      <w:lvlJc w:val="left"/>
      <w:pPr>
        <w:ind w:left="1080" w:hanging="360"/>
      </w:pPr>
      <w:rPr>
        <w:rFonts w:hint="eastAsia"/>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2" w15:restartNumberingAfterBreak="0">
    <w:nsid w:val="36E115A8"/>
    <w:multiLevelType w:val="multilevel"/>
    <w:tmpl w:val="36E115A8"/>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3" w15:restartNumberingAfterBreak="0">
    <w:nsid w:val="3F61349F"/>
    <w:multiLevelType w:val="multilevel"/>
    <w:tmpl w:val="3F61349F"/>
    <w:lvl w:ilvl="0">
      <w:start w:val="1"/>
      <w:numFmt w:val="decimalEnclosedCircle"/>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4" w15:restartNumberingAfterBreak="0">
    <w:nsid w:val="42504755"/>
    <w:multiLevelType w:val="multilevel"/>
    <w:tmpl w:val="42504755"/>
    <w:lvl w:ilvl="0">
      <w:start w:val="1"/>
      <w:numFmt w:val="decimal"/>
      <w:lvlText w:val="%1."/>
      <w:lvlJc w:val="left"/>
      <w:pPr>
        <w:ind w:left="960" w:hanging="36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5" w15:restartNumberingAfterBreak="0">
    <w:nsid w:val="45F15F5A"/>
    <w:multiLevelType w:val="multilevel"/>
    <w:tmpl w:val="45F15F5A"/>
    <w:lvl w:ilvl="0">
      <w:start w:val="1"/>
      <w:numFmt w:val="decimal"/>
      <w:lvlText w:val="(%1)"/>
      <w:lvlJc w:val="left"/>
      <w:pPr>
        <w:ind w:left="1080" w:hanging="360"/>
      </w:pPr>
      <w:rPr>
        <w:rFonts w:hint="eastAsia"/>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6" w15:restartNumberingAfterBreak="0">
    <w:nsid w:val="47C341DF"/>
    <w:multiLevelType w:val="singleLevel"/>
    <w:tmpl w:val="47C341DF"/>
    <w:lvl w:ilvl="0">
      <w:start w:val="1"/>
      <w:numFmt w:val="decimal"/>
      <w:suff w:val="space"/>
      <w:lvlText w:val="(%1)"/>
      <w:lvlJc w:val="left"/>
    </w:lvl>
  </w:abstractNum>
  <w:abstractNum w:abstractNumId="17" w15:restartNumberingAfterBreak="0">
    <w:nsid w:val="4ACB11E7"/>
    <w:multiLevelType w:val="multilevel"/>
    <w:tmpl w:val="4ACB11E7"/>
    <w:lvl w:ilvl="0">
      <w:start w:val="1"/>
      <w:numFmt w:val="decimal"/>
      <w:lvlText w:val="(%1)"/>
      <w:lvlJc w:val="left"/>
      <w:pPr>
        <w:ind w:left="960" w:hanging="36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8" w15:restartNumberingAfterBreak="0">
    <w:nsid w:val="4EFE3C69"/>
    <w:multiLevelType w:val="multilevel"/>
    <w:tmpl w:val="4EFE3C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FE82BDC"/>
    <w:multiLevelType w:val="multilevel"/>
    <w:tmpl w:val="4FE82BDC"/>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34008A1"/>
    <w:multiLevelType w:val="multilevel"/>
    <w:tmpl w:val="534008A1"/>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1" w15:restartNumberingAfterBreak="0">
    <w:nsid w:val="5EA10F28"/>
    <w:multiLevelType w:val="singleLevel"/>
    <w:tmpl w:val="5EA10F28"/>
    <w:lvl w:ilvl="0">
      <w:start w:val="1"/>
      <w:numFmt w:val="decimal"/>
      <w:pStyle w:val="2"/>
      <w:lvlText w:val="%1."/>
      <w:lvlJc w:val="left"/>
      <w:pPr>
        <w:tabs>
          <w:tab w:val="left" w:pos="780"/>
        </w:tabs>
        <w:ind w:left="780" w:hanging="360"/>
      </w:pPr>
    </w:lvl>
  </w:abstractNum>
  <w:abstractNum w:abstractNumId="22" w15:restartNumberingAfterBreak="0">
    <w:nsid w:val="5EA10F33"/>
    <w:multiLevelType w:val="singleLevel"/>
    <w:tmpl w:val="5EA10F33"/>
    <w:lvl w:ilvl="0">
      <w:start w:val="1"/>
      <w:numFmt w:val="bullet"/>
      <w:pStyle w:val="4"/>
      <w:lvlText w:val=""/>
      <w:lvlJc w:val="left"/>
      <w:pPr>
        <w:tabs>
          <w:tab w:val="left" w:pos="1620"/>
        </w:tabs>
        <w:ind w:left="1620" w:hanging="360"/>
      </w:pPr>
      <w:rPr>
        <w:rFonts w:ascii="Wingdings" w:hAnsi="Wingdings" w:hint="default"/>
      </w:rPr>
    </w:lvl>
  </w:abstractNum>
  <w:abstractNum w:abstractNumId="23" w15:restartNumberingAfterBreak="0">
    <w:nsid w:val="5EA10F3E"/>
    <w:multiLevelType w:val="singleLevel"/>
    <w:tmpl w:val="5EA10F3E"/>
    <w:lvl w:ilvl="0">
      <w:start w:val="1"/>
      <w:numFmt w:val="decimal"/>
      <w:pStyle w:val="a"/>
      <w:lvlText w:val="%1."/>
      <w:lvlJc w:val="left"/>
      <w:pPr>
        <w:tabs>
          <w:tab w:val="left" w:pos="360"/>
        </w:tabs>
        <w:ind w:left="360" w:hanging="360"/>
      </w:pPr>
    </w:lvl>
  </w:abstractNum>
  <w:abstractNum w:abstractNumId="24" w15:restartNumberingAfterBreak="0">
    <w:nsid w:val="5EA10F49"/>
    <w:multiLevelType w:val="singleLevel"/>
    <w:tmpl w:val="5EA10F49"/>
    <w:lvl w:ilvl="0">
      <w:start w:val="1"/>
      <w:numFmt w:val="bullet"/>
      <w:pStyle w:val="a0"/>
      <w:lvlText w:val=""/>
      <w:lvlJc w:val="left"/>
      <w:pPr>
        <w:tabs>
          <w:tab w:val="left" w:pos="360"/>
        </w:tabs>
        <w:ind w:left="360" w:hanging="360"/>
      </w:pPr>
      <w:rPr>
        <w:rFonts w:ascii="Wingdings" w:hAnsi="Wingdings" w:hint="default"/>
      </w:rPr>
    </w:lvl>
  </w:abstractNum>
  <w:abstractNum w:abstractNumId="25" w15:restartNumberingAfterBreak="0">
    <w:nsid w:val="5EA10F54"/>
    <w:multiLevelType w:val="singleLevel"/>
    <w:tmpl w:val="5EA10F54"/>
    <w:lvl w:ilvl="0">
      <w:start w:val="1"/>
      <w:numFmt w:val="bullet"/>
      <w:pStyle w:val="3"/>
      <w:lvlText w:val=""/>
      <w:lvlJc w:val="left"/>
      <w:pPr>
        <w:tabs>
          <w:tab w:val="left" w:pos="1200"/>
        </w:tabs>
        <w:ind w:left="1200" w:hanging="360"/>
      </w:pPr>
      <w:rPr>
        <w:rFonts w:ascii="Wingdings" w:hAnsi="Wingdings" w:hint="default"/>
      </w:rPr>
    </w:lvl>
  </w:abstractNum>
  <w:abstractNum w:abstractNumId="26" w15:restartNumberingAfterBreak="0">
    <w:nsid w:val="5EA10F5F"/>
    <w:multiLevelType w:val="singleLevel"/>
    <w:tmpl w:val="5EA10F5F"/>
    <w:lvl w:ilvl="0">
      <w:start w:val="1"/>
      <w:numFmt w:val="decimal"/>
      <w:pStyle w:val="30"/>
      <w:lvlText w:val="%1."/>
      <w:lvlJc w:val="left"/>
      <w:pPr>
        <w:tabs>
          <w:tab w:val="left" w:pos="1200"/>
        </w:tabs>
        <w:ind w:left="1200" w:hanging="360"/>
      </w:pPr>
    </w:lvl>
  </w:abstractNum>
  <w:abstractNum w:abstractNumId="27" w15:restartNumberingAfterBreak="0">
    <w:nsid w:val="5EA10F6A"/>
    <w:multiLevelType w:val="singleLevel"/>
    <w:tmpl w:val="5EA10F6A"/>
    <w:lvl w:ilvl="0">
      <w:start w:val="1"/>
      <w:numFmt w:val="bullet"/>
      <w:pStyle w:val="20"/>
      <w:lvlText w:val=""/>
      <w:lvlJc w:val="left"/>
      <w:pPr>
        <w:tabs>
          <w:tab w:val="left" w:pos="780"/>
        </w:tabs>
        <w:ind w:left="780" w:hanging="360"/>
      </w:pPr>
      <w:rPr>
        <w:rFonts w:ascii="Wingdings" w:hAnsi="Wingdings" w:hint="default"/>
      </w:rPr>
    </w:lvl>
  </w:abstractNum>
  <w:abstractNum w:abstractNumId="28" w15:restartNumberingAfterBreak="0">
    <w:nsid w:val="5EA10F75"/>
    <w:multiLevelType w:val="singleLevel"/>
    <w:tmpl w:val="5EA10F75"/>
    <w:lvl w:ilvl="0">
      <w:start w:val="1"/>
      <w:numFmt w:val="bullet"/>
      <w:pStyle w:val="5"/>
      <w:lvlText w:val=""/>
      <w:lvlJc w:val="left"/>
      <w:pPr>
        <w:tabs>
          <w:tab w:val="left" w:pos="2040"/>
        </w:tabs>
        <w:ind w:left="2040" w:hanging="360"/>
      </w:pPr>
      <w:rPr>
        <w:rFonts w:ascii="Wingdings" w:hAnsi="Wingdings" w:hint="default"/>
      </w:rPr>
    </w:lvl>
  </w:abstractNum>
  <w:abstractNum w:abstractNumId="29" w15:restartNumberingAfterBreak="0">
    <w:nsid w:val="5EA10F80"/>
    <w:multiLevelType w:val="singleLevel"/>
    <w:tmpl w:val="5EA10F80"/>
    <w:lvl w:ilvl="0">
      <w:start w:val="1"/>
      <w:numFmt w:val="decimal"/>
      <w:pStyle w:val="40"/>
      <w:lvlText w:val="%1."/>
      <w:lvlJc w:val="left"/>
      <w:pPr>
        <w:tabs>
          <w:tab w:val="left" w:pos="1620"/>
        </w:tabs>
        <w:ind w:left="1620" w:hanging="360"/>
      </w:pPr>
    </w:lvl>
  </w:abstractNum>
  <w:abstractNum w:abstractNumId="30" w15:restartNumberingAfterBreak="0">
    <w:nsid w:val="5EA10F8B"/>
    <w:multiLevelType w:val="singleLevel"/>
    <w:tmpl w:val="5EA10F8B"/>
    <w:lvl w:ilvl="0">
      <w:start w:val="1"/>
      <w:numFmt w:val="decimal"/>
      <w:pStyle w:val="50"/>
      <w:lvlText w:val="%1."/>
      <w:lvlJc w:val="left"/>
      <w:pPr>
        <w:tabs>
          <w:tab w:val="left" w:pos="2040"/>
        </w:tabs>
        <w:ind w:left="2040" w:hanging="360"/>
      </w:pPr>
    </w:lvl>
  </w:abstractNum>
  <w:abstractNum w:abstractNumId="31" w15:restartNumberingAfterBreak="0">
    <w:nsid w:val="5EA3E922"/>
    <w:multiLevelType w:val="multilevel"/>
    <w:tmpl w:val="5EA3E922"/>
    <w:lvl w:ilvl="0">
      <w:start w:val="1"/>
      <w:numFmt w:val="upp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EAE20F1"/>
    <w:multiLevelType w:val="singleLevel"/>
    <w:tmpl w:val="5EAE20F1"/>
    <w:lvl w:ilvl="0">
      <w:start w:val="30"/>
      <w:numFmt w:val="decimal"/>
      <w:suff w:val="space"/>
      <w:lvlText w:val="%1."/>
      <w:lvlJc w:val="left"/>
    </w:lvl>
  </w:abstractNum>
  <w:abstractNum w:abstractNumId="33" w15:restartNumberingAfterBreak="0">
    <w:nsid w:val="5EC5F2CC"/>
    <w:multiLevelType w:val="singleLevel"/>
    <w:tmpl w:val="5EC5F2CC"/>
    <w:lvl w:ilvl="0">
      <w:start w:val="1"/>
      <w:numFmt w:val="decimal"/>
      <w:suff w:val="space"/>
      <w:lvlText w:val="(%1)"/>
      <w:lvlJc w:val="left"/>
    </w:lvl>
  </w:abstractNum>
  <w:abstractNum w:abstractNumId="34" w15:restartNumberingAfterBreak="0">
    <w:nsid w:val="62E07611"/>
    <w:multiLevelType w:val="multilevel"/>
    <w:tmpl w:val="62E07611"/>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5" w15:restartNumberingAfterBreak="0">
    <w:nsid w:val="63C00D8E"/>
    <w:multiLevelType w:val="multilevel"/>
    <w:tmpl w:val="63C00D8E"/>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6" w15:restartNumberingAfterBreak="0">
    <w:nsid w:val="6A476B84"/>
    <w:multiLevelType w:val="multilevel"/>
    <w:tmpl w:val="6A476B84"/>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7" w15:restartNumberingAfterBreak="0">
    <w:nsid w:val="770E2194"/>
    <w:multiLevelType w:val="multilevel"/>
    <w:tmpl w:val="770E2194"/>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8" w15:restartNumberingAfterBreak="0">
    <w:nsid w:val="795F0EFA"/>
    <w:multiLevelType w:val="multilevel"/>
    <w:tmpl w:val="795F0EFA"/>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9" w15:restartNumberingAfterBreak="0">
    <w:nsid w:val="7C923537"/>
    <w:multiLevelType w:val="multilevel"/>
    <w:tmpl w:val="7C923537"/>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40" w15:restartNumberingAfterBreak="0">
    <w:nsid w:val="7D50C33D"/>
    <w:multiLevelType w:val="singleLevel"/>
    <w:tmpl w:val="7D50C33D"/>
    <w:lvl w:ilvl="0">
      <w:start w:val="12"/>
      <w:numFmt w:val="decimal"/>
      <w:suff w:val="space"/>
      <w:lvlText w:val="%1."/>
      <w:lvlJc w:val="left"/>
    </w:lvl>
  </w:abstractNum>
  <w:num w:numId="1">
    <w:abstractNumId w:val="21"/>
  </w:num>
  <w:num w:numId="2">
    <w:abstractNumId w:val="22"/>
  </w:num>
  <w:num w:numId="3">
    <w:abstractNumId w:val="23"/>
  </w:num>
  <w:num w:numId="4">
    <w:abstractNumId w:val="24"/>
  </w:num>
  <w:num w:numId="5">
    <w:abstractNumId w:val="25"/>
  </w:num>
  <w:num w:numId="6">
    <w:abstractNumId w:val="26"/>
  </w:num>
  <w:num w:numId="7">
    <w:abstractNumId w:val="27"/>
  </w:num>
  <w:num w:numId="8">
    <w:abstractNumId w:val="28"/>
  </w:num>
  <w:num w:numId="9">
    <w:abstractNumId w:val="29"/>
  </w:num>
  <w:num w:numId="10">
    <w:abstractNumId w:val="30"/>
  </w:num>
  <w:num w:numId="11">
    <w:abstractNumId w:val="31"/>
  </w:num>
  <w:num w:numId="12">
    <w:abstractNumId w:val="34"/>
  </w:num>
  <w:num w:numId="13">
    <w:abstractNumId w:val="5"/>
  </w:num>
  <w:num w:numId="14">
    <w:abstractNumId w:val="38"/>
  </w:num>
  <w:num w:numId="15">
    <w:abstractNumId w:val="17"/>
  </w:num>
  <w:num w:numId="16">
    <w:abstractNumId w:val="32"/>
  </w:num>
  <w:num w:numId="17">
    <w:abstractNumId w:val="9"/>
  </w:num>
  <w:num w:numId="18">
    <w:abstractNumId w:val="14"/>
  </w:num>
  <w:num w:numId="19">
    <w:abstractNumId w:val="10"/>
  </w:num>
  <w:num w:numId="20">
    <w:abstractNumId w:val="37"/>
  </w:num>
  <w:num w:numId="21">
    <w:abstractNumId w:val="0"/>
  </w:num>
  <w:num w:numId="22">
    <w:abstractNumId w:val="16"/>
  </w:num>
  <w:num w:numId="23">
    <w:abstractNumId w:val="39"/>
  </w:num>
  <w:num w:numId="24">
    <w:abstractNumId w:val="18"/>
  </w:num>
  <w:num w:numId="25">
    <w:abstractNumId w:val="40"/>
  </w:num>
  <w:num w:numId="26">
    <w:abstractNumId w:val="6"/>
  </w:num>
  <w:num w:numId="27">
    <w:abstractNumId w:val="33"/>
  </w:num>
  <w:num w:numId="28">
    <w:abstractNumId w:val="1"/>
  </w:num>
  <w:num w:numId="29">
    <w:abstractNumId w:val="13"/>
  </w:num>
  <w:num w:numId="30">
    <w:abstractNumId w:val="2"/>
  </w:num>
  <w:num w:numId="31">
    <w:abstractNumId w:val="8"/>
  </w:num>
  <w:num w:numId="32">
    <w:abstractNumId w:val="35"/>
  </w:num>
  <w:num w:numId="33">
    <w:abstractNumId w:val="36"/>
  </w:num>
  <w:num w:numId="34">
    <w:abstractNumId w:val="20"/>
  </w:num>
  <w:num w:numId="35">
    <w:abstractNumId w:val="11"/>
  </w:num>
  <w:num w:numId="36">
    <w:abstractNumId w:val="15"/>
  </w:num>
  <w:num w:numId="37">
    <w:abstractNumId w:val="4"/>
  </w:num>
  <w:num w:numId="38">
    <w:abstractNumId w:val="7"/>
  </w:num>
  <w:num w:numId="39">
    <w:abstractNumId w:val="19"/>
  </w:num>
  <w:num w:numId="40">
    <w:abstractNumId w:val="3"/>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319"/>
    <w:rsid w:val="0000421E"/>
    <w:rsid w:val="00006F4A"/>
    <w:rsid w:val="000073D8"/>
    <w:rsid w:val="0001389E"/>
    <w:rsid w:val="00013E23"/>
    <w:rsid w:val="00016DD2"/>
    <w:rsid w:val="0002333A"/>
    <w:rsid w:val="000248F4"/>
    <w:rsid w:val="0003223A"/>
    <w:rsid w:val="00032552"/>
    <w:rsid w:val="000367FC"/>
    <w:rsid w:val="00036BFB"/>
    <w:rsid w:val="00044DB8"/>
    <w:rsid w:val="000466EE"/>
    <w:rsid w:val="000543CB"/>
    <w:rsid w:val="000566AF"/>
    <w:rsid w:val="000653EB"/>
    <w:rsid w:val="00067532"/>
    <w:rsid w:val="000718F9"/>
    <w:rsid w:val="00077B45"/>
    <w:rsid w:val="0008308B"/>
    <w:rsid w:val="00087B6B"/>
    <w:rsid w:val="00087F5F"/>
    <w:rsid w:val="000A0FB3"/>
    <w:rsid w:val="000A4FB3"/>
    <w:rsid w:val="000A5267"/>
    <w:rsid w:val="000A5E18"/>
    <w:rsid w:val="000B53B7"/>
    <w:rsid w:val="000B609E"/>
    <w:rsid w:val="000B6C72"/>
    <w:rsid w:val="000C03E3"/>
    <w:rsid w:val="000C284F"/>
    <w:rsid w:val="000C4336"/>
    <w:rsid w:val="000C5AD1"/>
    <w:rsid w:val="000E7674"/>
    <w:rsid w:val="000E7E50"/>
    <w:rsid w:val="000F303D"/>
    <w:rsid w:val="000F3582"/>
    <w:rsid w:val="00103176"/>
    <w:rsid w:val="0010351F"/>
    <w:rsid w:val="0011736E"/>
    <w:rsid w:val="0012251D"/>
    <w:rsid w:val="00125CCA"/>
    <w:rsid w:val="00130E8D"/>
    <w:rsid w:val="001317C5"/>
    <w:rsid w:val="00136DE7"/>
    <w:rsid w:val="00137B6C"/>
    <w:rsid w:val="00137DF2"/>
    <w:rsid w:val="001412D8"/>
    <w:rsid w:val="00147D64"/>
    <w:rsid w:val="00153304"/>
    <w:rsid w:val="00155002"/>
    <w:rsid w:val="00155C8B"/>
    <w:rsid w:val="00157BD0"/>
    <w:rsid w:val="001602EA"/>
    <w:rsid w:val="00160E6C"/>
    <w:rsid w:val="00161934"/>
    <w:rsid w:val="0017141D"/>
    <w:rsid w:val="00172779"/>
    <w:rsid w:val="00172B83"/>
    <w:rsid w:val="00182827"/>
    <w:rsid w:val="001931D7"/>
    <w:rsid w:val="0019350D"/>
    <w:rsid w:val="001A0E08"/>
    <w:rsid w:val="001A3B3E"/>
    <w:rsid w:val="001B415B"/>
    <w:rsid w:val="001C36A3"/>
    <w:rsid w:val="001C5C27"/>
    <w:rsid w:val="001D6B5F"/>
    <w:rsid w:val="001E1E97"/>
    <w:rsid w:val="001F7193"/>
    <w:rsid w:val="00206838"/>
    <w:rsid w:val="00220ACC"/>
    <w:rsid w:val="0023038E"/>
    <w:rsid w:val="00242194"/>
    <w:rsid w:val="0024255B"/>
    <w:rsid w:val="00247A05"/>
    <w:rsid w:val="00263F5B"/>
    <w:rsid w:val="00264FC9"/>
    <w:rsid w:val="002737FC"/>
    <w:rsid w:val="00274186"/>
    <w:rsid w:val="00275777"/>
    <w:rsid w:val="00276096"/>
    <w:rsid w:val="0027745D"/>
    <w:rsid w:val="00277766"/>
    <w:rsid w:val="0028072D"/>
    <w:rsid w:val="00280C47"/>
    <w:rsid w:val="00282A20"/>
    <w:rsid w:val="002850B2"/>
    <w:rsid w:val="00294F3A"/>
    <w:rsid w:val="002A05B8"/>
    <w:rsid w:val="002C5521"/>
    <w:rsid w:val="002C7261"/>
    <w:rsid w:val="002C7BC0"/>
    <w:rsid w:val="002D1379"/>
    <w:rsid w:val="002D68E7"/>
    <w:rsid w:val="002E1F8F"/>
    <w:rsid w:val="002F476D"/>
    <w:rsid w:val="002F79DF"/>
    <w:rsid w:val="00304244"/>
    <w:rsid w:val="00312129"/>
    <w:rsid w:val="003135D7"/>
    <w:rsid w:val="003237FA"/>
    <w:rsid w:val="003245B2"/>
    <w:rsid w:val="00327389"/>
    <w:rsid w:val="00332241"/>
    <w:rsid w:val="00332CA9"/>
    <w:rsid w:val="003363FF"/>
    <w:rsid w:val="003522A5"/>
    <w:rsid w:val="003531F6"/>
    <w:rsid w:val="00362BEA"/>
    <w:rsid w:val="003845A9"/>
    <w:rsid w:val="003845AD"/>
    <w:rsid w:val="00391121"/>
    <w:rsid w:val="003913E5"/>
    <w:rsid w:val="00395429"/>
    <w:rsid w:val="0039705E"/>
    <w:rsid w:val="003A3EE8"/>
    <w:rsid w:val="003A6AB8"/>
    <w:rsid w:val="003A7A02"/>
    <w:rsid w:val="003B4D77"/>
    <w:rsid w:val="003C288B"/>
    <w:rsid w:val="003D6328"/>
    <w:rsid w:val="003D6AD0"/>
    <w:rsid w:val="003E1FAA"/>
    <w:rsid w:val="003F2463"/>
    <w:rsid w:val="00402409"/>
    <w:rsid w:val="00407EEA"/>
    <w:rsid w:val="00417DCC"/>
    <w:rsid w:val="00422D66"/>
    <w:rsid w:val="00424A13"/>
    <w:rsid w:val="00431792"/>
    <w:rsid w:val="004334D7"/>
    <w:rsid w:val="00434175"/>
    <w:rsid w:val="00442827"/>
    <w:rsid w:val="00444BEA"/>
    <w:rsid w:val="00445465"/>
    <w:rsid w:val="00446705"/>
    <w:rsid w:val="004535CF"/>
    <w:rsid w:val="00455740"/>
    <w:rsid w:val="004566D7"/>
    <w:rsid w:val="00456A82"/>
    <w:rsid w:val="00460A78"/>
    <w:rsid w:val="004617B3"/>
    <w:rsid w:val="0046215F"/>
    <w:rsid w:val="0046348B"/>
    <w:rsid w:val="0047290A"/>
    <w:rsid w:val="0047455B"/>
    <w:rsid w:val="00485BAC"/>
    <w:rsid w:val="004860CA"/>
    <w:rsid w:val="0049254C"/>
    <w:rsid w:val="0049550A"/>
    <w:rsid w:val="004A2047"/>
    <w:rsid w:val="004B24DA"/>
    <w:rsid w:val="004C5FA3"/>
    <w:rsid w:val="004C77FA"/>
    <w:rsid w:val="004D0E29"/>
    <w:rsid w:val="004D283E"/>
    <w:rsid w:val="004D75B5"/>
    <w:rsid w:val="004E75DD"/>
    <w:rsid w:val="004F7CA9"/>
    <w:rsid w:val="005214B6"/>
    <w:rsid w:val="00534466"/>
    <w:rsid w:val="005364EA"/>
    <w:rsid w:val="0054221F"/>
    <w:rsid w:val="0054370B"/>
    <w:rsid w:val="00543A59"/>
    <w:rsid w:val="00544FC6"/>
    <w:rsid w:val="00547100"/>
    <w:rsid w:val="005508B9"/>
    <w:rsid w:val="00550ED0"/>
    <w:rsid w:val="00551073"/>
    <w:rsid w:val="005529B5"/>
    <w:rsid w:val="00557D22"/>
    <w:rsid w:val="00562270"/>
    <w:rsid w:val="00566DCA"/>
    <w:rsid w:val="005762D2"/>
    <w:rsid w:val="00581EFE"/>
    <w:rsid w:val="00585146"/>
    <w:rsid w:val="005905C5"/>
    <w:rsid w:val="0059295D"/>
    <w:rsid w:val="005959CB"/>
    <w:rsid w:val="005966A4"/>
    <w:rsid w:val="005A774F"/>
    <w:rsid w:val="005B586D"/>
    <w:rsid w:val="005C07FA"/>
    <w:rsid w:val="005C1205"/>
    <w:rsid w:val="005C2844"/>
    <w:rsid w:val="005C37C6"/>
    <w:rsid w:val="005C51BC"/>
    <w:rsid w:val="005C6026"/>
    <w:rsid w:val="005C6730"/>
    <w:rsid w:val="005C76D9"/>
    <w:rsid w:val="00601ADA"/>
    <w:rsid w:val="00602397"/>
    <w:rsid w:val="006077E1"/>
    <w:rsid w:val="006106AD"/>
    <w:rsid w:val="00612E33"/>
    <w:rsid w:val="006164E5"/>
    <w:rsid w:val="006303E4"/>
    <w:rsid w:val="00635F0C"/>
    <w:rsid w:val="00643089"/>
    <w:rsid w:val="00652816"/>
    <w:rsid w:val="006529BA"/>
    <w:rsid w:val="00654291"/>
    <w:rsid w:val="00655B58"/>
    <w:rsid w:val="006623DE"/>
    <w:rsid w:val="00667F7C"/>
    <w:rsid w:val="006748D0"/>
    <w:rsid w:val="00692042"/>
    <w:rsid w:val="00696674"/>
    <w:rsid w:val="006A3584"/>
    <w:rsid w:val="006A5085"/>
    <w:rsid w:val="006B0C80"/>
    <w:rsid w:val="006B27DF"/>
    <w:rsid w:val="006B3CB7"/>
    <w:rsid w:val="006C7507"/>
    <w:rsid w:val="006D5E8E"/>
    <w:rsid w:val="006E6F66"/>
    <w:rsid w:val="006F0AFD"/>
    <w:rsid w:val="006F1044"/>
    <w:rsid w:val="006F20A5"/>
    <w:rsid w:val="006F2645"/>
    <w:rsid w:val="00700C0A"/>
    <w:rsid w:val="0070313F"/>
    <w:rsid w:val="007103D0"/>
    <w:rsid w:val="00724EA2"/>
    <w:rsid w:val="0073200D"/>
    <w:rsid w:val="00747CF9"/>
    <w:rsid w:val="00754296"/>
    <w:rsid w:val="00766994"/>
    <w:rsid w:val="00767D90"/>
    <w:rsid w:val="00781D8E"/>
    <w:rsid w:val="00790488"/>
    <w:rsid w:val="007976DA"/>
    <w:rsid w:val="007A6291"/>
    <w:rsid w:val="007B46E7"/>
    <w:rsid w:val="007C36FF"/>
    <w:rsid w:val="007D5962"/>
    <w:rsid w:val="007D657D"/>
    <w:rsid w:val="007E2F7C"/>
    <w:rsid w:val="00805AA6"/>
    <w:rsid w:val="00807BC0"/>
    <w:rsid w:val="00812CB1"/>
    <w:rsid w:val="00814CF4"/>
    <w:rsid w:val="00822B83"/>
    <w:rsid w:val="008240E0"/>
    <w:rsid w:val="00826712"/>
    <w:rsid w:val="00832B85"/>
    <w:rsid w:val="008334FC"/>
    <w:rsid w:val="0084721B"/>
    <w:rsid w:val="0085726F"/>
    <w:rsid w:val="008617AA"/>
    <w:rsid w:val="008738C2"/>
    <w:rsid w:val="0087496D"/>
    <w:rsid w:val="008762AF"/>
    <w:rsid w:val="00877A8A"/>
    <w:rsid w:val="00881AD9"/>
    <w:rsid w:val="00882998"/>
    <w:rsid w:val="00883A2A"/>
    <w:rsid w:val="008A4506"/>
    <w:rsid w:val="008A711A"/>
    <w:rsid w:val="008B037B"/>
    <w:rsid w:val="008B25A3"/>
    <w:rsid w:val="008B272A"/>
    <w:rsid w:val="008B451D"/>
    <w:rsid w:val="008C212A"/>
    <w:rsid w:val="008C352F"/>
    <w:rsid w:val="008C3A71"/>
    <w:rsid w:val="008C4759"/>
    <w:rsid w:val="008D79E1"/>
    <w:rsid w:val="008E17AD"/>
    <w:rsid w:val="008E6527"/>
    <w:rsid w:val="008F1E97"/>
    <w:rsid w:val="008F63CE"/>
    <w:rsid w:val="008F6B28"/>
    <w:rsid w:val="00900841"/>
    <w:rsid w:val="0090320B"/>
    <w:rsid w:val="00915C4F"/>
    <w:rsid w:val="009204FD"/>
    <w:rsid w:val="00922B09"/>
    <w:rsid w:val="0093399E"/>
    <w:rsid w:val="00936049"/>
    <w:rsid w:val="00945B05"/>
    <w:rsid w:val="009539E6"/>
    <w:rsid w:val="009547EF"/>
    <w:rsid w:val="00955EAD"/>
    <w:rsid w:val="00960AC4"/>
    <w:rsid w:val="00963340"/>
    <w:rsid w:val="00976746"/>
    <w:rsid w:val="00980A4B"/>
    <w:rsid w:val="00981621"/>
    <w:rsid w:val="00992F28"/>
    <w:rsid w:val="009964B0"/>
    <w:rsid w:val="009B3B2E"/>
    <w:rsid w:val="009B55EE"/>
    <w:rsid w:val="009B7668"/>
    <w:rsid w:val="009B7C7B"/>
    <w:rsid w:val="009C1C8E"/>
    <w:rsid w:val="009C459A"/>
    <w:rsid w:val="009C782B"/>
    <w:rsid w:val="009E17E3"/>
    <w:rsid w:val="009E6E25"/>
    <w:rsid w:val="009F0A58"/>
    <w:rsid w:val="009F2372"/>
    <w:rsid w:val="009F417B"/>
    <w:rsid w:val="009F58F0"/>
    <w:rsid w:val="00A05729"/>
    <w:rsid w:val="00A33B8C"/>
    <w:rsid w:val="00A36E44"/>
    <w:rsid w:val="00A46B6F"/>
    <w:rsid w:val="00A50105"/>
    <w:rsid w:val="00A5091D"/>
    <w:rsid w:val="00A55FBD"/>
    <w:rsid w:val="00A562D7"/>
    <w:rsid w:val="00A568AF"/>
    <w:rsid w:val="00A60C63"/>
    <w:rsid w:val="00A67332"/>
    <w:rsid w:val="00A77B38"/>
    <w:rsid w:val="00A802D6"/>
    <w:rsid w:val="00A82A36"/>
    <w:rsid w:val="00A84936"/>
    <w:rsid w:val="00A91F41"/>
    <w:rsid w:val="00AA0DA1"/>
    <w:rsid w:val="00AA1CDC"/>
    <w:rsid w:val="00AC3722"/>
    <w:rsid w:val="00AC3C3D"/>
    <w:rsid w:val="00AD33C4"/>
    <w:rsid w:val="00AE178F"/>
    <w:rsid w:val="00AE2413"/>
    <w:rsid w:val="00AE587F"/>
    <w:rsid w:val="00AF072D"/>
    <w:rsid w:val="00AF7217"/>
    <w:rsid w:val="00AF7F64"/>
    <w:rsid w:val="00B036A5"/>
    <w:rsid w:val="00B03DE7"/>
    <w:rsid w:val="00B13B33"/>
    <w:rsid w:val="00B147DF"/>
    <w:rsid w:val="00B1512F"/>
    <w:rsid w:val="00B220E1"/>
    <w:rsid w:val="00B235EB"/>
    <w:rsid w:val="00B3092D"/>
    <w:rsid w:val="00B345C9"/>
    <w:rsid w:val="00B34716"/>
    <w:rsid w:val="00B350A7"/>
    <w:rsid w:val="00B379DA"/>
    <w:rsid w:val="00B4042E"/>
    <w:rsid w:val="00B43F78"/>
    <w:rsid w:val="00B440C2"/>
    <w:rsid w:val="00B5145F"/>
    <w:rsid w:val="00B526CB"/>
    <w:rsid w:val="00B5755A"/>
    <w:rsid w:val="00B57D25"/>
    <w:rsid w:val="00B60329"/>
    <w:rsid w:val="00B6113D"/>
    <w:rsid w:val="00B62724"/>
    <w:rsid w:val="00B62D2A"/>
    <w:rsid w:val="00B6370F"/>
    <w:rsid w:val="00B6740D"/>
    <w:rsid w:val="00B72D73"/>
    <w:rsid w:val="00B77871"/>
    <w:rsid w:val="00B80D86"/>
    <w:rsid w:val="00B83215"/>
    <w:rsid w:val="00B83620"/>
    <w:rsid w:val="00B849F5"/>
    <w:rsid w:val="00B96530"/>
    <w:rsid w:val="00B97601"/>
    <w:rsid w:val="00BB116E"/>
    <w:rsid w:val="00BC54F1"/>
    <w:rsid w:val="00BC6E59"/>
    <w:rsid w:val="00BD452E"/>
    <w:rsid w:val="00BE3C78"/>
    <w:rsid w:val="00BF4534"/>
    <w:rsid w:val="00C03F61"/>
    <w:rsid w:val="00C06920"/>
    <w:rsid w:val="00C07916"/>
    <w:rsid w:val="00C15F22"/>
    <w:rsid w:val="00C310E7"/>
    <w:rsid w:val="00C4639C"/>
    <w:rsid w:val="00C47BF1"/>
    <w:rsid w:val="00C514B1"/>
    <w:rsid w:val="00C73821"/>
    <w:rsid w:val="00C82C13"/>
    <w:rsid w:val="00C9116A"/>
    <w:rsid w:val="00CA11A1"/>
    <w:rsid w:val="00CC16DA"/>
    <w:rsid w:val="00CD4480"/>
    <w:rsid w:val="00CD59AC"/>
    <w:rsid w:val="00CD6603"/>
    <w:rsid w:val="00CE00D8"/>
    <w:rsid w:val="00CE7954"/>
    <w:rsid w:val="00CF0858"/>
    <w:rsid w:val="00CF2EF6"/>
    <w:rsid w:val="00CF44C5"/>
    <w:rsid w:val="00D043C9"/>
    <w:rsid w:val="00D06675"/>
    <w:rsid w:val="00D15E43"/>
    <w:rsid w:val="00D17884"/>
    <w:rsid w:val="00D2561C"/>
    <w:rsid w:val="00D30B47"/>
    <w:rsid w:val="00D313B9"/>
    <w:rsid w:val="00D508BF"/>
    <w:rsid w:val="00D52061"/>
    <w:rsid w:val="00D52F85"/>
    <w:rsid w:val="00D57EF5"/>
    <w:rsid w:val="00D6088B"/>
    <w:rsid w:val="00D6197D"/>
    <w:rsid w:val="00D61A03"/>
    <w:rsid w:val="00D63CB4"/>
    <w:rsid w:val="00D63E24"/>
    <w:rsid w:val="00D700B6"/>
    <w:rsid w:val="00D75DF2"/>
    <w:rsid w:val="00D8552F"/>
    <w:rsid w:val="00D87319"/>
    <w:rsid w:val="00D94C63"/>
    <w:rsid w:val="00D95A5E"/>
    <w:rsid w:val="00D95F93"/>
    <w:rsid w:val="00DB35DC"/>
    <w:rsid w:val="00DC05A3"/>
    <w:rsid w:val="00DD18B0"/>
    <w:rsid w:val="00DD44EB"/>
    <w:rsid w:val="00DE3A6D"/>
    <w:rsid w:val="00DF16DB"/>
    <w:rsid w:val="00DF322B"/>
    <w:rsid w:val="00DF783A"/>
    <w:rsid w:val="00E01E76"/>
    <w:rsid w:val="00E07080"/>
    <w:rsid w:val="00E14ED3"/>
    <w:rsid w:val="00E21E63"/>
    <w:rsid w:val="00E35C58"/>
    <w:rsid w:val="00E37440"/>
    <w:rsid w:val="00E41E65"/>
    <w:rsid w:val="00E41EF3"/>
    <w:rsid w:val="00E42F39"/>
    <w:rsid w:val="00E437D2"/>
    <w:rsid w:val="00E551DB"/>
    <w:rsid w:val="00E61095"/>
    <w:rsid w:val="00E66FC6"/>
    <w:rsid w:val="00E72C10"/>
    <w:rsid w:val="00E74FA6"/>
    <w:rsid w:val="00E81FB2"/>
    <w:rsid w:val="00E917F0"/>
    <w:rsid w:val="00E9247D"/>
    <w:rsid w:val="00EA6928"/>
    <w:rsid w:val="00EA6E71"/>
    <w:rsid w:val="00EB2CF5"/>
    <w:rsid w:val="00EB5741"/>
    <w:rsid w:val="00EB5BAF"/>
    <w:rsid w:val="00EC58FC"/>
    <w:rsid w:val="00EC7CFA"/>
    <w:rsid w:val="00ED049D"/>
    <w:rsid w:val="00ED20BF"/>
    <w:rsid w:val="00ED3345"/>
    <w:rsid w:val="00ED49F2"/>
    <w:rsid w:val="00ED7529"/>
    <w:rsid w:val="00EF1EE2"/>
    <w:rsid w:val="00F00F08"/>
    <w:rsid w:val="00F02494"/>
    <w:rsid w:val="00F03658"/>
    <w:rsid w:val="00F04F68"/>
    <w:rsid w:val="00F14FE1"/>
    <w:rsid w:val="00F2307F"/>
    <w:rsid w:val="00F2708A"/>
    <w:rsid w:val="00F31D83"/>
    <w:rsid w:val="00F3247F"/>
    <w:rsid w:val="00F3712B"/>
    <w:rsid w:val="00F47DCB"/>
    <w:rsid w:val="00F5217E"/>
    <w:rsid w:val="00F54F86"/>
    <w:rsid w:val="00F61B7B"/>
    <w:rsid w:val="00F712B0"/>
    <w:rsid w:val="00F733D1"/>
    <w:rsid w:val="00F73796"/>
    <w:rsid w:val="00F82BC4"/>
    <w:rsid w:val="00F842DC"/>
    <w:rsid w:val="00F8604E"/>
    <w:rsid w:val="00F8687E"/>
    <w:rsid w:val="00F92E0F"/>
    <w:rsid w:val="00F936A6"/>
    <w:rsid w:val="00FB06E2"/>
    <w:rsid w:val="00FB2AD6"/>
    <w:rsid w:val="00FD3F74"/>
    <w:rsid w:val="00FD5743"/>
    <w:rsid w:val="00FD7DF6"/>
    <w:rsid w:val="00FE559C"/>
    <w:rsid w:val="00FF166C"/>
    <w:rsid w:val="00FF715E"/>
    <w:rsid w:val="01685252"/>
    <w:rsid w:val="0236264C"/>
    <w:rsid w:val="026C0CCB"/>
    <w:rsid w:val="036D6F31"/>
    <w:rsid w:val="03A947CF"/>
    <w:rsid w:val="03CD02F8"/>
    <w:rsid w:val="04143A24"/>
    <w:rsid w:val="045B1A6C"/>
    <w:rsid w:val="04861FF8"/>
    <w:rsid w:val="04E27860"/>
    <w:rsid w:val="05371B1F"/>
    <w:rsid w:val="05441EF6"/>
    <w:rsid w:val="055B6132"/>
    <w:rsid w:val="056233F3"/>
    <w:rsid w:val="060A380A"/>
    <w:rsid w:val="06407690"/>
    <w:rsid w:val="06681F68"/>
    <w:rsid w:val="06827D74"/>
    <w:rsid w:val="07552381"/>
    <w:rsid w:val="07707DDC"/>
    <w:rsid w:val="07AE48B7"/>
    <w:rsid w:val="07D62BBB"/>
    <w:rsid w:val="08732F28"/>
    <w:rsid w:val="0891140E"/>
    <w:rsid w:val="095E1658"/>
    <w:rsid w:val="09690158"/>
    <w:rsid w:val="0A67044D"/>
    <w:rsid w:val="0AF1774D"/>
    <w:rsid w:val="0B585073"/>
    <w:rsid w:val="0B9E5EEA"/>
    <w:rsid w:val="0BA42ED2"/>
    <w:rsid w:val="0BED3BBD"/>
    <w:rsid w:val="0CB16011"/>
    <w:rsid w:val="0D814C83"/>
    <w:rsid w:val="0DD8135E"/>
    <w:rsid w:val="0E095737"/>
    <w:rsid w:val="0E416B54"/>
    <w:rsid w:val="0E647544"/>
    <w:rsid w:val="0EAA69CC"/>
    <w:rsid w:val="0F5A3ACE"/>
    <w:rsid w:val="0FA1680D"/>
    <w:rsid w:val="0FDB2640"/>
    <w:rsid w:val="1004627D"/>
    <w:rsid w:val="10052DDC"/>
    <w:rsid w:val="10107BD9"/>
    <w:rsid w:val="10B63A3D"/>
    <w:rsid w:val="111A14F2"/>
    <w:rsid w:val="115E0E2D"/>
    <w:rsid w:val="117F4E3A"/>
    <w:rsid w:val="121B37E9"/>
    <w:rsid w:val="127669DA"/>
    <w:rsid w:val="130E5BF0"/>
    <w:rsid w:val="13121AEF"/>
    <w:rsid w:val="135055E3"/>
    <w:rsid w:val="13E64BA0"/>
    <w:rsid w:val="13E91426"/>
    <w:rsid w:val="13EB2D9F"/>
    <w:rsid w:val="13ED41C3"/>
    <w:rsid w:val="141759AB"/>
    <w:rsid w:val="14532977"/>
    <w:rsid w:val="14D421AB"/>
    <w:rsid w:val="14E00483"/>
    <w:rsid w:val="151733B7"/>
    <w:rsid w:val="158966B9"/>
    <w:rsid w:val="15D300D9"/>
    <w:rsid w:val="16590538"/>
    <w:rsid w:val="165A36A2"/>
    <w:rsid w:val="169F6EA7"/>
    <w:rsid w:val="16D842D4"/>
    <w:rsid w:val="175D6116"/>
    <w:rsid w:val="17971560"/>
    <w:rsid w:val="17B22980"/>
    <w:rsid w:val="17F43B64"/>
    <w:rsid w:val="18296374"/>
    <w:rsid w:val="18962E01"/>
    <w:rsid w:val="18D121A7"/>
    <w:rsid w:val="19371EE3"/>
    <w:rsid w:val="19BE1C5B"/>
    <w:rsid w:val="19C44DAF"/>
    <w:rsid w:val="19E448B6"/>
    <w:rsid w:val="19EF312D"/>
    <w:rsid w:val="1A2A2BDB"/>
    <w:rsid w:val="1AA1316F"/>
    <w:rsid w:val="1AC15612"/>
    <w:rsid w:val="1AEE3C3D"/>
    <w:rsid w:val="1B1D6BCA"/>
    <w:rsid w:val="1B8E1161"/>
    <w:rsid w:val="1B920CE0"/>
    <w:rsid w:val="1BA86BE5"/>
    <w:rsid w:val="1BFF3720"/>
    <w:rsid w:val="1C264ACD"/>
    <w:rsid w:val="1CF01995"/>
    <w:rsid w:val="1D0132F7"/>
    <w:rsid w:val="1D1D4B13"/>
    <w:rsid w:val="1DFD3FE6"/>
    <w:rsid w:val="1E9E7E88"/>
    <w:rsid w:val="1EE6754B"/>
    <w:rsid w:val="1EEF4620"/>
    <w:rsid w:val="1F7D5626"/>
    <w:rsid w:val="1F945BF9"/>
    <w:rsid w:val="1FB131E0"/>
    <w:rsid w:val="2002066A"/>
    <w:rsid w:val="20450681"/>
    <w:rsid w:val="20E5545F"/>
    <w:rsid w:val="20E82D71"/>
    <w:rsid w:val="221B0135"/>
    <w:rsid w:val="22827B53"/>
    <w:rsid w:val="228A4C05"/>
    <w:rsid w:val="23C368B7"/>
    <w:rsid w:val="23CC042A"/>
    <w:rsid w:val="23F50E68"/>
    <w:rsid w:val="247D2DFB"/>
    <w:rsid w:val="254E4F43"/>
    <w:rsid w:val="257E3CE6"/>
    <w:rsid w:val="265A1C5E"/>
    <w:rsid w:val="27030830"/>
    <w:rsid w:val="27041501"/>
    <w:rsid w:val="27812957"/>
    <w:rsid w:val="27B7531C"/>
    <w:rsid w:val="28187B38"/>
    <w:rsid w:val="283F19C1"/>
    <w:rsid w:val="28A54FA2"/>
    <w:rsid w:val="28AA1C04"/>
    <w:rsid w:val="28C91909"/>
    <w:rsid w:val="28EB744A"/>
    <w:rsid w:val="29420DBE"/>
    <w:rsid w:val="29A57F04"/>
    <w:rsid w:val="29DF24E3"/>
    <w:rsid w:val="2A8C2E2D"/>
    <w:rsid w:val="2AFB5918"/>
    <w:rsid w:val="2B1612D4"/>
    <w:rsid w:val="2B380EDC"/>
    <w:rsid w:val="2B4E07CC"/>
    <w:rsid w:val="2B836BB5"/>
    <w:rsid w:val="2B93705E"/>
    <w:rsid w:val="2BB35133"/>
    <w:rsid w:val="2BE10C40"/>
    <w:rsid w:val="2BF4114D"/>
    <w:rsid w:val="2C335ACC"/>
    <w:rsid w:val="2C457FCF"/>
    <w:rsid w:val="2C4E3391"/>
    <w:rsid w:val="2D0A1073"/>
    <w:rsid w:val="2D7E6C17"/>
    <w:rsid w:val="2E6A40E4"/>
    <w:rsid w:val="30307855"/>
    <w:rsid w:val="30552E72"/>
    <w:rsid w:val="30B40918"/>
    <w:rsid w:val="311E397F"/>
    <w:rsid w:val="31231D85"/>
    <w:rsid w:val="31316982"/>
    <w:rsid w:val="31404A1B"/>
    <w:rsid w:val="31973C81"/>
    <w:rsid w:val="31BA7E03"/>
    <w:rsid w:val="32F52891"/>
    <w:rsid w:val="33DC1B4D"/>
    <w:rsid w:val="33E37F9C"/>
    <w:rsid w:val="3418673B"/>
    <w:rsid w:val="34E3233C"/>
    <w:rsid w:val="3569537E"/>
    <w:rsid w:val="35CA29C1"/>
    <w:rsid w:val="35F37E89"/>
    <w:rsid w:val="35F7566C"/>
    <w:rsid w:val="35F9734B"/>
    <w:rsid w:val="36013C93"/>
    <w:rsid w:val="36490A40"/>
    <w:rsid w:val="366F61E3"/>
    <w:rsid w:val="372C4A75"/>
    <w:rsid w:val="376F69A7"/>
    <w:rsid w:val="377940AD"/>
    <w:rsid w:val="37864BF3"/>
    <w:rsid w:val="378D3BDA"/>
    <w:rsid w:val="3798193D"/>
    <w:rsid w:val="37E65961"/>
    <w:rsid w:val="37EB3A87"/>
    <w:rsid w:val="37F65BAC"/>
    <w:rsid w:val="380832FB"/>
    <w:rsid w:val="384429CC"/>
    <w:rsid w:val="38F156FB"/>
    <w:rsid w:val="39C21932"/>
    <w:rsid w:val="39D97709"/>
    <w:rsid w:val="3A995E3E"/>
    <w:rsid w:val="3ABC049D"/>
    <w:rsid w:val="3B8A67DB"/>
    <w:rsid w:val="3BB97534"/>
    <w:rsid w:val="3BFB5E10"/>
    <w:rsid w:val="3D593E40"/>
    <w:rsid w:val="3E1210DE"/>
    <w:rsid w:val="3E557352"/>
    <w:rsid w:val="3E566C52"/>
    <w:rsid w:val="3E913FF1"/>
    <w:rsid w:val="3EC97D57"/>
    <w:rsid w:val="3ED935BD"/>
    <w:rsid w:val="3F0B3795"/>
    <w:rsid w:val="3F475C9D"/>
    <w:rsid w:val="3FE22077"/>
    <w:rsid w:val="404F55D5"/>
    <w:rsid w:val="407F141D"/>
    <w:rsid w:val="40B44903"/>
    <w:rsid w:val="41A87DB6"/>
    <w:rsid w:val="4256151D"/>
    <w:rsid w:val="428B7885"/>
    <w:rsid w:val="430A4904"/>
    <w:rsid w:val="447E6F27"/>
    <w:rsid w:val="44BE7AA8"/>
    <w:rsid w:val="44F73EA0"/>
    <w:rsid w:val="452F33F1"/>
    <w:rsid w:val="457E785F"/>
    <w:rsid w:val="458872AE"/>
    <w:rsid w:val="460E0FE8"/>
    <w:rsid w:val="46517A5B"/>
    <w:rsid w:val="466C75DA"/>
    <w:rsid w:val="4674178C"/>
    <w:rsid w:val="468156EE"/>
    <w:rsid w:val="47E50C8A"/>
    <w:rsid w:val="47EC0F76"/>
    <w:rsid w:val="490A047C"/>
    <w:rsid w:val="493976C6"/>
    <w:rsid w:val="497E1BD3"/>
    <w:rsid w:val="4A0B55B0"/>
    <w:rsid w:val="4A6C4B14"/>
    <w:rsid w:val="4A966276"/>
    <w:rsid w:val="4ADA4802"/>
    <w:rsid w:val="4B092AF5"/>
    <w:rsid w:val="4B6A7704"/>
    <w:rsid w:val="4BBF4961"/>
    <w:rsid w:val="4BF51146"/>
    <w:rsid w:val="4BF85011"/>
    <w:rsid w:val="4C2402CB"/>
    <w:rsid w:val="4CA606E0"/>
    <w:rsid w:val="4CE86E7B"/>
    <w:rsid w:val="4E021E3E"/>
    <w:rsid w:val="4E2E1ED7"/>
    <w:rsid w:val="4E492AE1"/>
    <w:rsid w:val="4E9C4BF9"/>
    <w:rsid w:val="4EF11543"/>
    <w:rsid w:val="4F050A2A"/>
    <w:rsid w:val="501E467D"/>
    <w:rsid w:val="50275CB4"/>
    <w:rsid w:val="502D0B8A"/>
    <w:rsid w:val="50821A68"/>
    <w:rsid w:val="5196564B"/>
    <w:rsid w:val="526B7C3F"/>
    <w:rsid w:val="52DB624D"/>
    <w:rsid w:val="535C2B56"/>
    <w:rsid w:val="54537680"/>
    <w:rsid w:val="547234D6"/>
    <w:rsid w:val="54815D7C"/>
    <w:rsid w:val="54985EC0"/>
    <w:rsid w:val="54A25917"/>
    <w:rsid w:val="54DD6AC6"/>
    <w:rsid w:val="551D021F"/>
    <w:rsid w:val="55683B6A"/>
    <w:rsid w:val="564E1D35"/>
    <w:rsid w:val="56A6441A"/>
    <w:rsid w:val="56E778DB"/>
    <w:rsid w:val="576077F3"/>
    <w:rsid w:val="57A4379D"/>
    <w:rsid w:val="57FF7693"/>
    <w:rsid w:val="581F1C8B"/>
    <w:rsid w:val="5885628C"/>
    <w:rsid w:val="58D84F14"/>
    <w:rsid w:val="59A27672"/>
    <w:rsid w:val="5A015366"/>
    <w:rsid w:val="5B081502"/>
    <w:rsid w:val="5B1B5811"/>
    <w:rsid w:val="5B1E5B31"/>
    <w:rsid w:val="5B447B79"/>
    <w:rsid w:val="5B965DB6"/>
    <w:rsid w:val="5BE12012"/>
    <w:rsid w:val="5C562080"/>
    <w:rsid w:val="5CB54597"/>
    <w:rsid w:val="5D9820C9"/>
    <w:rsid w:val="5E280728"/>
    <w:rsid w:val="5E777C8D"/>
    <w:rsid w:val="5ED22984"/>
    <w:rsid w:val="602F7F60"/>
    <w:rsid w:val="60B659D6"/>
    <w:rsid w:val="610077C6"/>
    <w:rsid w:val="613823D0"/>
    <w:rsid w:val="6192415E"/>
    <w:rsid w:val="619B4673"/>
    <w:rsid w:val="61EE3BCB"/>
    <w:rsid w:val="62C83C5C"/>
    <w:rsid w:val="62D03DE6"/>
    <w:rsid w:val="63114F9B"/>
    <w:rsid w:val="641D64FF"/>
    <w:rsid w:val="643D5773"/>
    <w:rsid w:val="646B0832"/>
    <w:rsid w:val="649F56F2"/>
    <w:rsid w:val="64BE2A33"/>
    <w:rsid w:val="64E63E71"/>
    <w:rsid w:val="650F5A3E"/>
    <w:rsid w:val="656F4706"/>
    <w:rsid w:val="65F9767C"/>
    <w:rsid w:val="6608660A"/>
    <w:rsid w:val="66416869"/>
    <w:rsid w:val="6646533C"/>
    <w:rsid w:val="664F7B0C"/>
    <w:rsid w:val="66FF057F"/>
    <w:rsid w:val="670E0DD1"/>
    <w:rsid w:val="688B2057"/>
    <w:rsid w:val="68951210"/>
    <w:rsid w:val="6923002E"/>
    <w:rsid w:val="69316534"/>
    <w:rsid w:val="6961578E"/>
    <w:rsid w:val="69CE6936"/>
    <w:rsid w:val="6A48594E"/>
    <w:rsid w:val="6A6D3BB4"/>
    <w:rsid w:val="6AC31620"/>
    <w:rsid w:val="6BFA2759"/>
    <w:rsid w:val="6C000196"/>
    <w:rsid w:val="6C1238A8"/>
    <w:rsid w:val="6C1D1A48"/>
    <w:rsid w:val="6C3719AE"/>
    <w:rsid w:val="6C3B03D9"/>
    <w:rsid w:val="6C4C6F76"/>
    <w:rsid w:val="6C663D14"/>
    <w:rsid w:val="6CEC2893"/>
    <w:rsid w:val="6E103C55"/>
    <w:rsid w:val="6EFB0B00"/>
    <w:rsid w:val="6F79171B"/>
    <w:rsid w:val="6F8F0F55"/>
    <w:rsid w:val="6FA565EA"/>
    <w:rsid w:val="700520CE"/>
    <w:rsid w:val="701C39C6"/>
    <w:rsid w:val="706E0383"/>
    <w:rsid w:val="70766690"/>
    <w:rsid w:val="708B3C3E"/>
    <w:rsid w:val="70C84A97"/>
    <w:rsid w:val="717557D3"/>
    <w:rsid w:val="717B4AC3"/>
    <w:rsid w:val="721970C6"/>
    <w:rsid w:val="7290324F"/>
    <w:rsid w:val="72D858BA"/>
    <w:rsid w:val="72FB5E50"/>
    <w:rsid w:val="73406A6C"/>
    <w:rsid w:val="736219FB"/>
    <w:rsid w:val="757E33B0"/>
    <w:rsid w:val="75CF1DD6"/>
    <w:rsid w:val="75E12B51"/>
    <w:rsid w:val="76352729"/>
    <w:rsid w:val="773663C0"/>
    <w:rsid w:val="79816611"/>
    <w:rsid w:val="79F41344"/>
    <w:rsid w:val="7A675FCB"/>
    <w:rsid w:val="7A8F1A1D"/>
    <w:rsid w:val="7AC63AB5"/>
    <w:rsid w:val="7ACF7A10"/>
    <w:rsid w:val="7B377D1F"/>
    <w:rsid w:val="7B7D5B7D"/>
    <w:rsid w:val="7BA03C81"/>
    <w:rsid w:val="7BC12323"/>
    <w:rsid w:val="7C9A58F2"/>
    <w:rsid w:val="7CAC2E3A"/>
    <w:rsid w:val="7CFA367B"/>
    <w:rsid w:val="7D4E6816"/>
    <w:rsid w:val="7DA03BCA"/>
    <w:rsid w:val="7E424063"/>
    <w:rsid w:val="7E836BD6"/>
    <w:rsid w:val="7ED56666"/>
    <w:rsid w:val="7EE32F56"/>
    <w:rsid w:val="7FA228C8"/>
    <w:rsid w:val="7FB14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64FEF"/>
  <w15:docId w15:val="{EED5D5A6-5EB7-4993-9D29-6B76289A1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nhideWhenUsed="1" w:qFormat="1"/>
    <w:lsdException w:name="annotation text" w:unhideWhenUsed="1" w:qFormat="1"/>
    <w:lsdException w:name="header" w:unhideWhenUsed="1" w:qFormat="1"/>
    <w:lsdException w:name="footer" w:unhideWhenUsed="1" w:qFormat="1"/>
    <w:lsdException w:name="index heading" w:unhideWhenUsed="1" w:qFormat="1"/>
    <w:lsdException w:name="caption" w:uiPriority="35" w:unhideWhenUsed="1" w:qFormat="1"/>
    <w:lsdException w:name="table of figures" w:unhideWhenUsed="1" w:qFormat="1"/>
    <w:lsdException w:name="envelope address" w:unhideWhenUsed="1" w:qFormat="1"/>
    <w:lsdException w:name="envelope return" w:unhideWhenUsed="1" w:qFormat="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unhideWhenUsed="1" w:qFormat="1"/>
    <w:lsdException w:name="List Bullet" w:unhideWhenUsed="1" w:qFormat="1"/>
    <w:lsdException w:name="List Number" w:unhideWhenUsed="1" w:qFormat="1"/>
    <w:lsdException w:name="List 2"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nhideWhenUsed="1" w:qFormat="1"/>
    <w:lsdException w:name="List Number 5" w:unhideWhenUsed="1" w:qFormat="1"/>
    <w:lsdException w:name="Title" w:uiPriority="10"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uiPriority="11" w:qFormat="1"/>
    <w:lsdException w:name="Salutation" w:unhideWhenUsed="1" w:qFormat="1"/>
    <w:lsdException w:name="Date" w:unhideWhenUsed="1" w:qFormat="1"/>
    <w:lsdException w:name="Body Text First Indent"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unhideWhenUsed="1"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pacing w:afterLines="50" w:after="50"/>
      <w:ind w:firstLineChars="200" w:firstLine="200"/>
    </w:pPr>
    <w:rPr>
      <w:rFonts w:asciiTheme="minorHAnsi" w:eastAsiaTheme="minorEastAsia" w:hAnsiTheme="minorHAnsi" w:cstheme="minorBidi"/>
      <w:kern w:val="2"/>
      <w:sz w:val="21"/>
      <w:szCs w:val="22"/>
    </w:rPr>
  </w:style>
  <w:style w:type="paragraph" w:styleId="1">
    <w:name w:val="heading 1"/>
    <w:basedOn w:val="a1"/>
    <w:next w:val="a1"/>
    <w:uiPriority w:val="9"/>
    <w:qFormat/>
    <w:pPr>
      <w:keepNext/>
      <w:keepLines/>
      <w:spacing w:before="340" w:afterLines="0" w:after="330" w:line="576" w:lineRule="auto"/>
      <w:outlineLvl w:val="0"/>
    </w:pPr>
    <w:rPr>
      <w:b/>
      <w:kern w:val="44"/>
      <w:sz w:val="44"/>
    </w:rPr>
  </w:style>
  <w:style w:type="paragraph" w:styleId="21">
    <w:name w:val="heading 2"/>
    <w:basedOn w:val="a1"/>
    <w:next w:val="a1"/>
    <w:uiPriority w:val="9"/>
    <w:unhideWhenUsed/>
    <w:qFormat/>
    <w:pPr>
      <w:keepNext/>
      <w:keepLines/>
      <w:spacing w:before="260" w:afterLines="0" w:after="260" w:line="413" w:lineRule="auto"/>
      <w:outlineLvl w:val="1"/>
    </w:pPr>
    <w:rPr>
      <w:rFonts w:ascii="Arial" w:eastAsia="黑体" w:hAnsi="Arial"/>
      <w:b/>
      <w:sz w:val="32"/>
    </w:rPr>
  </w:style>
  <w:style w:type="paragraph" w:styleId="31">
    <w:name w:val="heading 3"/>
    <w:basedOn w:val="a1"/>
    <w:next w:val="a1"/>
    <w:uiPriority w:val="9"/>
    <w:unhideWhenUsed/>
    <w:qFormat/>
    <w:pPr>
      <w:keepNext/>
      <w:keepLines/>
      <w:spacing w:before="260" w:afterLines="0" w:after="260" w:line="413" w:lineRule="auto"/>
      <w:outlineLvl w:val="2"/>
    </w:pPr>
    <w:rPr>
      <w:b/>
      <w:sz w:val="32"/>
    </w:rPr>
  </w:style>
  <w:style w:type="paragraph" w:styleId="41">
    <w:name w:val="heading 4"/>
    <w:basedOn w:val="a1"/>
    <w:next w:val="a1"/>
    <w:uiPriority w:val="9"/>
    <w:unhideWhenUsed/>
    <w:qFormat/>
    <w:pPr>
      <w:keepNext/>
      <w:keepLines/>
      <w:spacing w:before="280" w:afterLines="0" w:after="290" w:line="372" w:lineRule="auto"/>
      <w:outlineLvl w:val="3"/>
    </w:pPr>
    <w:rPr>
      <w:rFonts w:ascii="Arial" w:eastAsia="黑体" w:hAnsi="Arial"/>
      <w:b/>
      <w:sz w:val="28"/>
    </w:rPr>
  </w:style>
  <w:style w:type="paragraph" w:styleId="51">
    <w:name w:val="heading 5"/>
    <w:basedOn w:val="a1"/>
    <w:next w:val="a1"/>
    <w:uiPriority w:val="9"/>
    <w:unhideWhenUsed/>
    <w:qFormat/>
    <w:pPr>
      <w:keepNext/>
      <w:keepLines/>
      <w:spacing w:before="280" w:afterLines="0" w:after="290" w:line="372" w:lineRule="auto"/>
      <w:outlineLvl w:val="4"/>
    </w:pPr>
    <w:rPr>
      <w:b/>
      <w:sz w:val="28"/>
    </w:rPr>
  </w:style>
  <w:style w:type="paragraph" w:styleId="6">
    <w:name w:val="heading 6"/>
    <w:basedOn w:val="a1"/>
    <w:next w:val="a1"/>
    <w:uiPriority w:val="9"/>
    <w:unhideWhenUsed/>
    <w:qFormat/>
    <w:pPr>
      <w:keepNext/>
      <w:keepLines/>
      <w:spacing w:before="240" w:afterLines="0" w:after="64" w:line="317" w:lineRule="auto"/>
      <w:outlineLvl w:val="5"/>
    </w:pPr>
    <w:rPr>
      <w:rFonts w:ascii="Arial" w:eastAsia="黑体" w:hAnsi="Arial"/>
      <w:b/>
      <w:sz w:val="24"/>
    </w:rPr>
  </w:style>
  <w:style w:type="paragraph" w:styleId="7">
    <w:name w:val="heading 7"/>
    <w:basedOn w:val="a1"/>
    <w:next w:val="a1"/>
    <w:uiPriority w:val="9"/>
    <w:unhideWhenUsed/>
    <w:qFormat/>
    <w:pPr>
      <w:keepNext/>
      <w:keepLines/>
      <w:spacing w:before="240" w:afterLines="0" w:after="64" w:line="317" w:lineRule="auto"/>
      <w:outlineLvl w:val="6"/>
    </w:pPr>
    <w:rPr>
      <w:b/>
      <w:sz w:val="24"/>
    </w:rPr>
  </w:style>
  <w:style w:type="paragraph" w:styleId="8">
    <w:name w:val="heading 8"/>
    <w:basedOn w:val="a1"/>
    <w:next w:val="a1"/>
    <w:uiPriority w:val="9"/>
    <w:unhideWhenUsed/>
    <w:qFormat/>
    <w:pPr>
      <w:keepNext/>
      <w:keepLines/>
      <w:spacing w:before="240" w:afterLines="0" w:after="64" w:line="317" w:lineRule="auto"/>
      <w:outlineLvl w:val="7"/>
    </w:pPr>
    <w:rPr>
      <w:rFonts w:ascii="Arial" w:eastAsia="黑体" w:hAnsi="Arial"/>
      <w:sz w:val="24"/>
    </w:rPr>
  </w:style>
  <w:style w:type="paragraph" w:styleId="9">
    <w:name w:val="heading 9"/>
    <w:basedOn w:val="a1"/>
    <w:next w:val="a1"/>
    <w:uiPriority w:val="9"/>
    <w:unhideWhenUsed/>
    <w:qFormat/>
    <w:pPr>
      <w:keepNext/>
      <w:keepLines/>
      <w:spacing w:before="240" w:afterLines="0" w:after="64" w:line="317" w:lineRule="auto"/>
      <w:outlineLvl w:val="8"/>
    </w:pPr>
    <w:rPr>
      <w:rFonts w:ascii="Arial" w:eastAsia="黑体" w:hAnsi="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Theme="minorEastAsia" w:hAnsi="Courier New" w:cstheme="minorBidi"/>
      <w:kern w:val="2"/>
      <w:sz w:val="24"/>
    </w:rPr>
  </w:style>
  <w:style w:type="paragraph" w:styleId="32">
    <w:name w:val="List 3"/>
    <w:basedOn w:val="a1"/>
    <w:uiPriority w:val="99"/>
    <w:unhideWhenUsed/>
    <w:qFormat/>
    <w:pPr>
      <w:ind w:leftChars="400" w:left="100" w:hangingChars="200" w:hanging="200"/>
    </w:pPr>
  </w:style>
  <w:style w:type="paragraph" w:styleId="TOC7">
    <w:name w:val="toc 7"/>
    <w:basedOn w:val="a1"/>
    <w:next w:val="a1"/>
    <w:uiPriority w:val="39"/>
    <w:unhideWhenUsed/>
    <w:qFormat/>
    <w:pPr>
      <w:ind w:leftChars="1200" w:left="2520"/>
    </w:pPr>
  </w:style>
  <w:style w:type="paragraph" w:styleId="2">
    <w:name w:val="List Number 2"/>
    <w:basedOn w:val="a1"/>
    <w:uiPriority w:val="99"/>
    <w:unhideWhenUsed/>
    <w:qFormat/>
    <w:pPr>
      <w:numPr>
        <w:numId w:val="1"/>
      </w:numPr>
    </w:pPr>
  </w:style>
  <w:style w:type="paragraph" w:styleId="a6">
    <w:name w:val="table of authorities"/>
    <w:basedOn w:val="a1"/>
    <w:next w:val="a1"/>
    <w:uiPriority w:val="99"/>
    <w:unhideWhenUsed/>
    <w:qFormat/>
    <w:pPr>
      <w:ind w:leftChars="200" w:left="420"/>
    </w:pPr>
  </w:style>
  <w:style w:type="paragraph" w:styleId="a7">
    <w:name w:val="Note Heading"/>
    <w:basedOn w:val="a1"/>
    <w:next w:val="a1"/>
    <w:uiPriority w:val="99"/>
    <w:unhideWhenUsed/>
    <w:qFormat/>
    <w:pPr>
      <w:jc w:val="center"/>
    </w:pPr>
  </w:style>
  <w:style w:type="paragraph" w:styleId="4">
    <w:name w:val="List Bullet 4"/>
    <w:basedOn w:val="a1"/>
    <w:uiPriority w:val="99"/>
    <w:unhideWhenUsed/>
    <w:qFormat/>
    <w:pPr>
      <w:numPr>
        <w:numId w:val="2"/>
      </w:numPr>
    </w:pPr>
  </w:style>
  <w:style w:type="paragraph" w:styleId="80">
    <w:name w:val="index 8"/>
    <w:basedOn w:val="a1"/>
    <w:next w:val="a1"/>
    <w:uiPriority w:val="99"/>
    <w:unhideWhenUsed/>
    <w:qFormat/>
    <w:pPr>
      <w:ind w:leftChars="1400" w:left="1400"/>
    </w:pPr>
  </w:style>
  <w:style w:type="paragraph" w:styleId="a8">
    <w:name w:val="E-mail Signature"/>
    <w:basedOn w:val="a1"/>
    <w:uiPriority w:val="99"/>
    <w:unhideWhenUsed/>
    <w:qFormat/>
  </w:style>
  <w:style w:type="paragraph" w:styleId="a">
    <w:name w:val="List Number"/>
    <w:basedOn w:val="a1"/>
    <w:uiPriority w:val="99"/>
    <w:unhideWhenUsed/>
    <w:qFormat/>
    <w:pPr>
      <w:numPr>
        <w:numId w:val="3"/>
      </w:numPr>
    </w:pPr>
  </w:style>
  <w:style w:type="paragraph" w:styleId="a9">
    <w:name w:val="Normal Indent"/>
    <w:basedOn w:val="a1"/>
    <w:uiPriority w:val="99"/>
    <w:unhideWhenUsed/>
    <w:qFormat/>
    <w:pPr>
      <w:ind w:firstLine="420"/>
    </w:pPr>
  </w:style>
  <w:style w:type="paragraph" w:styleId="aa">
    <w:name w:val="caption"/>
    <w:basedOn w:val="a1"/>
    <w:next w:val="a1"/>
    <w:uiPriority w:val="35"/>
    <w:unhideWhenUsed/>
    <w:qFormat/>
    <w:rPr>
      <w:rFonts w:ascii="Arial" w:eastAsia="黑体" w:hAnsi="Arial"/>
      <w:sz w:val="20"/>
    </w:rPr>
  </w:style>
  <w:style w:type="paragraph" w:styleId="52">
    <w:name w:val="index 5"/>
    <w:basedOn w:val="a1"/>
    <w:next w:val="a1"/>
    <w:uiPriority w:val="99"/>
    <w:unhideWhenUsed/>
    <w:qFormat/>
    <w:pPr>
      <w:ind w:leftChars="800" w:left="800"/>
    </w:pPr>
  </w:style>
  <w:style w:type="paragraph" w:styleId="a0">
    <w:name w:val="List Bullet"/>
    <w:basedOn w:val="a1"/>
    <w:uiPriority w:val="99"/>
    <w:unhideWhenUsed/>
    <w:qFormat/>
    <w:pPr>
      <w:numPr>
        <w:numId w:val="4"/>
      </w:numPr>
    </w:pPr>
  </w:style>
  <w:style w:type="paragraph" w:styleId="ab">
    <w:name w:val="envelope address"/>
    <w:basedOn w:val="a1"/>
    <w:uiPriority w:val="99"/>
    <w:unhideWhenUsed/>
    <w:qFormat/>
    <w:pPr>
      <w:snapToGrid w:val="0"/>
      <w:ind w:leftChars="1400" w:left="100"/>
    </w:pPr>
    <w:rPr>
      <w:rFonts w:ascii="Arial" w:hAnsi="Arial"/>
      <w:sz w:val="24"/>
    </w:rPr>
  </w:style>
  <w:style w:type="paragraph" w:styleId="ac">
    <w:name w:val="Document Map"/>
    <w:basedOn w:val="a1"/>
    <w:uiPriority w:val="99"/>
    <w:unhideWhenUsed/>
    <w:qFormat/>
    <w:pPr>
      <w:shd w:val="clear" w:color="auto" w:fill="000080"/>
    </w:pPr>
  </w:style>
  <w:style w:type="paragraph" w:styleId="ad">
    <w:name w:val="toa heading"/>
    <w:basedOn w:val="a1"/>
    <w:next w:val="a1"/>
    <w:uiPriority w:val="99"/>
    <w:unhideWhenUsed/>
    <w:qFormat/>
    <w:pPr>
      <w:spacing w:before="120"/>
    </w:pPr>
    <w:rPr>
      <w:rFonts w:ascii="Arial" w:hAnsi="Arial"/>
      <w:sz w:val="24"/>
    </w:rPr>
  </w:style>
  <w:style w:type="paragraph" w:styleId="ae">
    <w:name w:val="annotation text"/>
    <w:basedOn w:val="a1"/>
    <w:uiPriority w:val="99"/>
    <w:unhideWhenUsed/>
    <w:qFormat/>
  </w:style>
  <w:style w:type="paragraph" w:styleId="60">
    <w:name w:val="index 6"/>
    <w:basedOn w:val="a1"/>
    <w:next w:val="a1"/>
    <w:uiPriority w:val="99"/>
    <w:unhideWhenUsed/>
    <w:qFormat/>
    <w:pPr>
      <w:ind w:leftChars="1000" w:left="1000"/>
    </w:pPr>
  </w:style>
  <w:style w:type="paragraph" w:styleId="af">
    <w:name w:val="Salutation"/>
    <w:basedOn w:val="a1"/>
    <w:next w:val="a1"/>
    <w:uiPriority w:val="99"/>
    <w:unhideWhenUsed/>
    <w:qFormat/>
  </w:style>
  <w:style w:type="paragraph" w:styleId="33">
    <w:name w:val="Body Text 3"/>
    <w:basedOn w:val="a1"/>
    <w:uiPriority w:val="99"/>
    <w:unhideWhenUsed/>
    <w:qFormat/>
    <w:pPr>
      <w:spacing w:afterLines="0" w:after="120"/>
    </w:pPr>
    <w:rPr>
      <w:sz w:val="16"/>
    </w:rPr>
  </w:style>
  <w:style w:type="paragraph" w:styleId="af0">
    <w:name w:val="Closing"/>
    <w:basedOn w:val="a1"/>
    <w:uiPriority w:val="99"/>
    <w:unhideWhenUsed/>
    <w:qFormat/>
    <w:pPr>
      <w:ind w:leftChars="2100" w:left="100"/>
    </w:pPr>
  </w:style>
  <w:style w:type="paragraph" w:styleId="3">
    <w:name w:val="List Bullet 3"/>
    <w:basedOn w:val="a1"/>
    <w:uiPriority w:val="99"/>
    <w:unhideWhenUsed/>
    <w:qFormat/>
    <w:pPr>
      <w:numPr>
        <w:numId w:val="5"/>
      </w:numPr>
    </w:pPr>
  </w:style>
  <w:style w:type="paragraph" w:styleId="af1">
    <w:name w:val="Body Text"/>
    <w:basedOn w:val="a1"/>
    <w:uiPriority w:val="99"/>
    <w:unhideWhenUsed/>
    <w:qFormat/>
    <w:pPr>
      <w:spacing w:afterLines="0" w:after="120"/>
    </w:pPr>
  </w:style>
  <w:style w:type="paragraph" w:styleId="af2">
    <w:name w:val="Body Text Indent"/>
    <w:basedOn w:val="a1"/>
    <w:uiPriority w:val="99"/>
    <w:unhideWhenUsed/>
    <w:qFormat/>
    <w:pPr>
      <w:spacing w:afterLines="0" w:after="120"/>
      <w:ind w:leftChars="200" w:left="420"/>
    </w:pPr>
  </w:style>
  <w:style w:type="paragraph" w:styleId="30">
    <w:name w:val="List Number 3"/>
    <w:basedOn w:val="a1"/>
    <w:uiPriority w:val="99"/>
    <w:unhideWhenUsed/>
    <w:qFormat/>
    <w:pPr>
      <w:numPr>
        <w:numId w:val="6"/>
      </w:numPr>
    </w:pPr>
  </w:style>
  <w:style w:type="paragraph" w:styleId="22">
    <w:name w:val="List 2"/>
    <w:basedOn w:val="a1"/>
    <w:uiPriority w:val="99"/>
    <w:unhideWhenUsed/>
    <w:qFormat/>
    <w:pPr>
      <w:ind w:leftChars="200" w:left="100" w:hangingChars="200" w:hanging="200"/>
    </w:pPr>
  </w:style>
  <w:style w:type="paragraph" w:styleId="af3">
    <w:name w:val="List Continue"/>
    <w:basedOn w:val="a1"/>
    <w:uiPriority w:val="99"/>
    <w:unhideWhenUsed/>
    <w:qFormat/>
    <w:pPr>
      <w:spacing w:afterLines="0" w:after="120"/>
      <w:ind w:leftChars="200" w:left="420"/>
    </w:pPr>
  </w:style>
  <w:style w:type="paragraph" w:styleId="af4">
    <w:name w:val="Block Text"/>
    <w:basedOn w:val="a1"/>
    <w:uiPriority w:val="99"/>
    <w:unhideWhenUsed/>
    <w:qFormat/>
    <w:pPr>
      <w:spacing w:afterLines="0" w:after="120"/>
      <w:ind w:leftChars="700" w:left="1440" w:rightChars="700" w:right="700"/>
    </w:pPr>
  </w:style>
  <w:style w:type="paragraph" w:styleId="20">
    <w:name w:val="List Bullet 2"/>
    <w:basedOn w:val="a1"/>
    <w:uiPriority w:val="99"/>
    <w:unhideWhenUsed/>
    <w:qFormat/>
    <w:pPr>
      <w:numPr>
        <w:numId w:val="7"/>
      </w:numPr>
    </w:pPr>
  </w:style>
  <w:style w:type="paragraph" w:styleId="HTML">
    <w:name w:val="HTML Address"/>
    <w:basedOn w:val="a1"/>
    <w:uiPriority w:val="99"/>
    <w:unhideWhenUsed/>
    <w:qFormat/>
    <w:rPr>
      <w:i/>
    </w:rPr>
  </w:style>
  <w:style w:type="paragraph" w:styleId="42">
    <w:name w:val="index 4"/>
    <w:basedOn w:val="a1"/>
    <w:next w:val="a1"/>
    <w:uiPriority w:val="99"/>
    <w:unhideWhenUsed/>
    <w:qFormat/>
    <w:pPr>
      <w:ind w:leftChars="600" w:left="600"/>
    </w:pPr>
  </w:style>
  <w:style w:type="paragraph" w:styleId="TOC5">
    <w:name w:val="toc 5"/>
    <w:basedOn w:val="a1"/>
    <w:next w:val="a1"/>
    <w:uiPriority w:val="39"/>
    <w:unhideWhenUsed/>
    <w:qFormat/>
    <w:pPr>
      <w:ind w:leftChars="800" w:left="1680"/>
    </w:pPr>
  </w:style>
  <w:style w:type="paragraph" w:styleId="TOC3">
    <w:name w:val="toc 3"/>
    <w:basedOn w:val="a1"/>
    <w:next w:val="a1"/>
    <w:uiPriority w:val="39"/>
    <w:unhideWhenUsed/>
    <w:qFormat/>
    <w:pPr>
      <w:ind w:leftChars="400" w:left="840"/>
    </w:pPr>
  </w:style>
  <w:style w:type="paragraph" w:styleId="af5">
    <w:name w:val="Plain Text"/>
    <w:basedOn w:val="a1"/>
    <w:uiPriority w:val="99"/>
    <w:unhideWhenUsed/>
    <w:qFormat/>
    <w:rPr>
      <w:rFonts w:ascii="宋体" w:hAnsi="Courier New"/>
    </w:rPr>
  </w:style>
  <w:style w:type="paragraph" w:styleId="5">
    <w:name w:val="List Bullet 5"/>
    <w:basedOn w:val="a1"/>
    <w:uiPriority w:val="99"/>
    <w:unhideWhenUsed/>
    <w:qFormat/>
    <w:pPr>
      <w:numPr>
        <w:numId w:val="8"/>
      </w:numPr>
    </w:pPr>
  </w:style>
  <w:style w:type="paragraph" w:styleId="40">
    <w:name w:val="List Number 4"/>
    <w:basedOn w:val="a1"/>
    <w:uiPriority w:val="99"/>
    <w:unhideWhenUsed/>
    <w:qFormat/>
    <w:pPr>
      <w:numPr>
        <w:numId w:val="9"/>
      </w:numPr>
    </w:pPr>
  </w:style>
  <w:style w:type="paragraph" w:styleId="TOC8">
    <w:name w:val="toc 8"/>
    <w:basedOn w:val="a1"/>
    <w:next w:val="a1"/>
    <w:uiPriority w:val="39"/>
    <w:unhideWhenUsed/>
    <w:qFormat/>
    <w:pPr>
      <w:ind w:leftChars="1400" w:left="2940"/>
    </w:pPr>
  </w:style>
  <w:style w:type="paragraph" w:styleId="34">
    <w:name w:val="index 3"/>
    <w:basedOn w:val="a1"/>
    <w:next w:val="a1"/>
    <w:uiPriority w:val="99"/>
    <w:unhideWhenUsed/>
    <w:qFormat/>
    <w:pPr>
      <w:ind w:leftChars="400" w:left="400"/>
    </w:pPr>
  </w:style>
  <w:style w:type="paragraph" w:styleId="af6">
    <w:name w:val="Date"/>
    <w:basedOn w:val="a1"/>
    <w:next w:val="a1"/>
    <w:link w:val="af7"/>
    <w:uiPriority w:val="99"/>
    <w:unhideWhenUsed/>
    <w:qFormat/>
    <w:pPr>
      <w:ind w:leftChars="2500" w:left="100"/>
    </w:pPr>
  </w:style>
  <w:style w:type="paragraph" w:styleId="23">
    <w:name w:val="Body Text Indent 2"/>
    <w:basedOn w:val="a1"/>
    <w:uiPriority w:val="99"/>
    <w:unhideWhenUsed/>
    <w:qFormat/>
    <w:pPr>
      <w:spacing w:afterLines="0" w:after="120" w:line="480" w:lineRule="auto"/>
      <w:ind w:leftChars="200" w:left="420"/>
    </w:pPr>
  </w:style>
  <w:style w:type="paragraph" w:styleId="af8">
    <w:name w:val="endnote text"/>
    <w:basedOn w:val="a1"/>
    <w:uiPriority w:val="99"/>
    <w:unhideWhenUsed/>
    <w:qFormat/>
    <w:pPr>
      <w:snapToGrid w:val="0"/>
    </w:pPr>
  </w:style>
  <w:style w:type="paragraph" w:styleId="53">
    <w:name w:val="List Continue 5"/>
    <w:basedOn w:val="a1"/>
    <w:uiPriority w:val="99"/>
    <w:unhideWhenUsed/>
    <w:qFormat/>
    <w:pPr>
      <w:spacing w:afterLines="0" w:after="120"/>
      <w:ind w:leftChars="1000" w:left="2100"/>
    </w:pPr>
  </w:style>
  <w:style w:type="paragraph" w:styleId="af9">
    <w:name w:val="Balloon Text"/>
    <w:basedOn w:val="a1"/>
    <w:link w:val="afa"/>
    <w:uiPriority w:val="99"/>
    <w:unhideWhenUsed/>
    <w:qFormat/>
    <w:rPr>
      <w:sz w:val="18"/>
      <w:szCs w:val="18"/>
    </w:rPr>
  </w:style>
  <w:style w:type="paragraph" w:styleId="afb">
    <w:name w:val="footer"/>
    <w:basedOn w:val="a1"/>
    <w:link w:val="afc"/>
    <w:uiPriority w:val="99"/>
    <w:unhideWhenUsed/>
    <w:qFormat/>
    <w:pPr>
      <w:tabs>
        <w:tab w:val="center" w:pos="4153"/>
        <w:tab w:val="right" w:pos="8306"/>
      </w:tabs>
      <w:snapToGrid w:val="0"/>
    </w:pPr>
    <w:rPr>
      <w:sz w:val="18"/>
      <w:szCs w:val="18"/>
    </w:rPr>
  </w:style>
  <w:style w:type="paragraph" w:styleId="afd">
    <w:name w:val="envelope return"/>
    <w:basedOn w:val="a1"/>
    <w:uiPriority w:val="99"/>
    <w:unhideWhenUsed/>
    <w:qFormat/>
    <w:pPr>
      <w:snapToGrid w:val="0"/>
    </w:pPr>
    <w:rPr>
      <w:rFonts w:ascii="Arial" w:hAnsi="Arial"/>
    </w:rPr>
  </w:style>
  <w:style w:type="paragraph" w:styleId="afe">
    <w:name w:val="header"/>
    <w:basedOn w:val="a1"/>
    <w:link w:val="aff"/>
    <w:uiPriority w:val="99"/>
    <w:unhideWhenUsed/>
    <w:qFormat/>
    <w:pPr>
      <w:pBdr>
        <w:bottom w:val="single" w:sz="6" w:space="1" w:color="auto"/>
      </w:pBdr>
      <w:tabs>
        <w:tab w:val="center" w:pos="4153"/>
        <w:tab w:val="right" w:pos="8306"/>
      </w:tabs>
      <w:snapToGrid w:val="0"/>
      <w:jc w:val="center"/>
    </w:pPr>
    <w:rPr>
      <w:sz w:val="18"/>
      <w:szCs w:val="18"/>
    </w:rPr>
  </w:style>
  <w:style w:type="paragraph" w:styleId="aff0">
    <w:name w:val="Signature"/>
    <w:basedOn w:val="a1"/>
    <w:uiPriority w:val="99"/>
    <w:unhideWhenUsed/>
    <w:qFormat/>
    <w:pPr>
      <w:ind w:leftChars="2100" w:left="100"/>
    </w:pPr>
  </w:style>
  <w:style w:type="paragraph" w:styleId="TOC1">
    <w:name w:val="toc 1"/>
    <w:basedOn w:val="a1"/>
    <w:next w:val="a1"/>
    <w:uiPriority w:val="39"/>
    <w:unhideWhenUsed/>
    <w:qFormat/>
  </w:style>
  <w:style w:type="paragraph" w:styleId="43">
    <w:name w:val="List Continue 4"/>
    <w:basedOn w:val="a1"/>
    <w:uiPriority w:val="99"/>
    <w:unhideWhenUsed/>
    <w:qFormat/>
    <w:pPr>
      <w:spacing w:afterLines="0" w:after="120"/>
      <w:ind w:leftChars="800" w:left="1680"/>
    </w:pPr>
  </w:style>
  <w:style w:type="paragraph" w:styleId="TOC4">
    <w:name w:val="toc 4"/>
    <w:basedOn w:val="a1"/>
    <w:next w:val="a1"/>
    <w:uiPriority w:val="39"/>
    <w:unhideWhenUsed/>
    <w:qFormat/>
    <w:pPr>
      <w:ind w:leftChars="600" w:left="1260"/>
    </w:pPr>
  </w:style>
  <w:style w:type="paragraph" w:styleId="aff1">
    <w:name w:val="index heading"/>
    <w:basedOn w:val="a1"/>
    <w:next w:val="10"/>
    <w:uiPriority w:val="99"/>
    <w:unhideWhenUsed/>
    <w:qFormat/>
    <w:rPr>
      <w:rFonts w:ascii="Arial" w:hAnsi="Arial"/>
      <w:b/>
    </w:rPr>
  </w:style>
  <w:style w:type="paragraph" w:styleId="10">
    <w:name w:val="index 1"/>
    <w:basedOn w:val="a1"/>
    <w:next w:val="a1"/>
    <w:uiPriority w:val="99"/>
    <w:unhideWhenUsed/>
    <w:qFormat/>
  </w:style>
  <w:style w:type="paragraph" w:styleId="aff2">
    <w:name w:val="Subtitle"/>
    <w:basedOn w:val="a1"/>
    <w:next w:val="a1"/>
    <w:link w:val="aff3"/>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50">
    <w:name w:val="List Number 5"/>
    <w:basedOn w:val="a1"/>
    <w:uiPriority w:val="99"/>
    <w:unhideWhenUsed/>
    <w:qFormat/>
    <w:pPr>
      <w:numPr>
        <w:numId w:val="10"/>
      </w:numPr>
    </w:pPr>
  </w:style>
  <w:style w:type="paragraph" w:styleId="aff4">
    <w:name w:val="List"/>
    <w:basedOn w:val="a1"/>
    <w:uiPriority w:val="99"/>
    <w:unhideWhenUsed/>
    <w:qFormat/>
    <w:pPr>
      <w:ind w:left="200" w:hangingChars="200" w:hanging="200"/>
    </w:pPr>
  </w:style>
  <w:style w:type="paragraph" w:styleId="aff5">
    <w:name w:val="footnote text"/>
    <w:basedOn w:val="a1"/>
    <w:uiPriority w:val="99"/>
    <w:unhideWhenUsed/>
    <w:qFormat/>
    <w:pPr>
      <w:snapToGrid w:val="0"/>
    </w:pPr>
    <w:rPr>
      <w:sz w:val="18"/>
    </w:rPr>
  </w:style>
  <w:style w:type="paragraph" w:styleId="TOC6">
    <w:name w:val="toc 6"/>
    <w:basedOn w:val="a1"/>
    <w:next w:val="a1"/>
    <w:uiPriority w:val="39"/>
    <w:unhideWhenUsed/>
    <w:qFormat/>
    <w:pPr>
      <w:ind w:leftChars="1000" w:left="2100"/>
    </w:pPr>
  </w:style>
  <w:style w:type="paragraph" w:styleId="54">
    <w:name w:val="List 5"/>
    <w:basedOn w:val="a1"/>
    <w:uiPriority w:val="99"/>
    <w:unhideWhenUsed/>
    <w:qFormat/>
    <w:pPr>
      <w:ind w:leftChars="800" w:left="100" w:hangingChars="200" w:hanging="200"/>
    </w:pPr>
  </w:style>
  <w:style w:type="paragraph" w:styleId="35">
    <w:name w:val="Body Text Indent 3"/>
    <w:basedOn w:val="a1"/>
    <w:uiPriority w:val="99"/>
    <w:unhideWhenUsed/>
    <w:qFormat/>
    <w:pPr>
      <w:spacing w:afterLines="0" w:after="120"/>
      <w:ind w:leftChars="200" w:left="420"/>
    </w:pPr>
    <w:rPr>
      <w:sz w:val="16"/>
    </w:rPr>
  </w:style>
  <w:style w:type="paragraph" w:styleId="70">
    <w:name w:val="index 7"/>
    <w:basedOn w:val="a1"/>
    <w:next w:val="a1"/>
    <w:uiPriority w:val="99"/>
    <w:unhideWhenUsed/>
    <w:qFormat/>
    <w:pPr>
      <w:ind w:leftChars="1200" w:left="1200"/>
    </w:pPr>
  </w:style>
  <w:style w:type="paragraph" w:styleId="90">
    <w:name w:val="index 9"/>
    <w:basedOn w:val="a1"/>
    <w:next w:val="a1"/>
    <w:uiPriority w:val="99"/>
    <w:unhideWhenUsed/>
    <w:qFormat/>
    <w:pPr>
      <w:ind w:leftChars="1600" w:left="1600"/>
    </w:pPr>
  </w:style>
  <w:style w:type="paragraph" w:styleId="aff6">
    <w:name w:val="table of figures"/>
    <w:basedOn w:val="a1"/>
    <w:next w:val="a1"/>
    <w:uiPriority w:val="99"/>
    <w:unhideWhenUsed/>
    <w:qFormat/>
    <w:pPr>
      <w:ind w:leftChars="200" w:left="200" w:hangingChars="200" w:hanging="200"/>
    </w:pPr>
  </w:style>
  <w:style w:type="paragraph" w:styleId="TOC2">
    <w:name w:val="toc 2"/>
    <w:basedOn w:val="a1"/>
    <w:next w:val="a1"/>
    <w:uiPriority w:val="39"/>
    <w:unhideWhenUsed/>
    <w:qFormat/>
    <w:pPr>
      <w:ind w:leftChars="200" w:left="420"/>
    </w:pPr>
  </w:style>
  <w:style w:type="paragraph" w:styleId="TOC9">
    <w:name w:val="toc 9"/>
    <w:basedOn w:val="a1"/>
    <w:next w:val="a1"/>
    <w:uiPriority w:val="39"/>
    <w:unhideWhenUsed/>
    <w:qFormat/>
    <w:pPr>
      <w:ind w:leftChars="1600" w:left="3360"/>
    </w:pPr>
  </w:style>
  <w:style w:type="paragraph" w:styleId="24">
    <w:name w:val="Body Text 2"/>
    <w:basedOn w:val="a1"/>
    <w:uiPriority w:val="99"/>
    <w:unhideWhenUsed/>
    <w:qFormat/>
    <w:pPr>
      <w:spacing w:afterLines="0" w:after="120" w:line="480" w:lineRule="auto"/>
    </w:pPr>
  </w:style>
  <w:style w:type="paragraph" w:styleId="44">
    <w:name w:val="List 4"/>
    <w:basedOn w:val="a1"/>
    <w:uiPriority w:val="99"/>
    <w:unhideWhenUsed/>
    <w:qFormat/>
    <w:pPr>
      <w:ind w:leftChars="600" w:left="100" w:hangingChars="200" w:hanging="200"/>
    </w:pPr>
  </w:style>
  <w:style w:type="paragraph" w:styleId="25">
    <w:name w:val="List Continue 2"/>
    <w:basedOn w:val="a1"/>
    <w:uiPriority w:val="99"/>
    <w:unhideWhenUsed/>
    <w:qFormat/>
    <w:pPr>
      <w:spacing w:afterLines="0" w:after="120"/>
      <w:ind w:leftChars="400" w:left="840"/>
    </w:pPr>
  </w:style>
  <w:style w:type="paragraph" w:styleId="aff7">
    <w:name w:val="Message Header"/>
    <w:basedOn w:val="a1"/>
    <w:uiPriority w:val="99"/>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0">
    <w:name w:val="HTML Preformatted"/>
    <w:basedOn w:val="a1"/>
    <w:uiPriority w:val="99"/>
    <w:unhideWhenUsed/>
    <w:qFormat/>
    <w:rPr>
      <w:rFonts w:ascii="Courier New" w:hAnsi="Courier New"/>
      <w:sz w:val="20"/>
    </w:rPr>
  </w:style>
  <w:style w:type="paragraph" w:styleId="aff8">
    <w:name w:val="Normal (Web)"/>
    <w:basedOn w:val="a1"/>
    <w:uiPriority w:val="99"/>
    <w:unhideWhenUsed/>
    <w:qFormat/>
    <w:rPr>
      <w:sz w:val="24"/>
    </w:rPr>
  </w:style>
  <w:style w:type="paragraph" w:styleId="36">
    <w:name w:val="List Continue 3"/>
    <w:basedOn w:val="a1"/>
    <w:uiPriority w:val="99"/>
    <w:unhideWhenUsed/>
    <w:qFormat/>
    <w:pPr>
      <w:spacing w:afterLines="0" w:after="120"/>
      <w:ind w:leftChars="600" w:left="1260"/>
    </w:pPr>
  </w:style>
  <w:style w:type="paragraph" w:styleId="26">
    <w:name w:val="index 2"/>
    <w:basedOn w:val="a1"/>
    <w:next w:val="a1"/>
    <w:uiPriority w:val="99"/>
    <w:unhideWhenUsed/>
    <w:qFormat/>
    <w:pPr>
      <w:ind w:leftChars="200" w:left="200"/>
    </w:pPr>
  </w:style>
  <w:style w:type="paragraph" w:styleId="aff9">
    <w:name w:val="Title"/>
    <w:basedOn w:val="a1"/>
    <w:next w:val="a1"/>
    <w:link w:val="affa"/>
    <w:uiPriority w:val="10"/>
    <w:qFormat/>
    <w:pPr>
      <w:spacing w:before="240" w:after="60"/>
      <w:jc w:val="center"/>
      <w:outlineLvl w:val="0"/>
    </w:pPr>
    <w:rPr>
      <w:rFonts w:asciiTheme="majorHAnsi" w:eastAsia="宋体" w:hAnsiTheme="majorHAnsi" w:cstheme="majorBidi"/>
      <w:b/>
      <w:bCs/>
      <w:sz w:val="32"/>
      <w:szCs w:val="32"/>
    </w:rPr>
  </w:style>
  <w:style w:type="paragraph" w:styleId="affb">
    <w:name w:val="annotation subject"/>
    <w:basedOn w:val="ae"/>
    <w:next w:val="ae"/>
    <w:uiPriority w:val="99"/>
    <w:unhideWhenUsed/>
    <w:qFormat/>
    <w:rPr>
      <w:b/>
    </w:rPr>
  </w:style>
  <w:style w:type="paragraph" w:styleId="affc">
    <w:name w:val="Body Text First Indent"/>
    <w:basedOn w:val="af1"/>
    <w:uiPriority w:val="99"/>
    <w:unhideWhenUsed/>
    <w:qFormat/>
    <w:pPr>
      <w:ind w:firstLineChars="100" w:firstLine="420"/>
    </w:pPr>
  </w:style>
  <w:style w:type="paragraph" w:styleId="27">
    <w:name w:val="Body Text First Indent 2"/>
    <w:basedOn w:val="af2"/>
    <w:uiPriority w:val="99"/>
    <w:unhideWhenUsed/>
    <w:qFormat/>
    <w:pPr>
      <w:ind w:firstLine="420"/>
    </w:pPr>
  </w:style>
  <w:style w:type="table" w:styleId="affd">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Hyperlink"/>
    <w:basedOn w:val="a2"/>
    <w:uiPriority w:val="99"/>
    <w:unhideWhenUsed/>
    <w:qFormat/>
    <w:rPr>
      <w:color w:val="0000FF"/>
      <w:u w:val="single"/>
    </w:rPr>
  </w:style>
  <w:style w:type="character" w:styleId="afff">
    <w:name w:val="annotation reference"/>
    <w:basedOn w:val="a2"/>
    <w:uiPriority w:val="99"/>
    <w:unhideWhenUsed/>
    <w:qFormat/>
    <w:rPr>
      <w:rFonts w:cs="Times New Roman"/>
      <w:sz w:val="21"/>
    </w:rPr>
  </w:style>
  <w:style w:type="paragraph" w:customStyle="1" w:styleId="11">
    <w:name w:val="列出段落1"/>
    <w:basedOn w:val="a1"/>
    <w:uiPriority w:val="34"/>
    <w:qFormat/>
    <w:pPr>
      <w:ind w:firstLine="420"/>
    </w:pPr>
  </w:style>
  <w:style w:type="character" w:customStyle="1" w:styleId="12">
    <w:name w:val="书籍标题1"/>
    <w:basedOn w:val="a2"/>
    <w:uiPriority w:val="33"/>
    <w:qFormat/>
    <w:rPr>
      <w:b/>
      <w:bCs/>
      <w:smallCaps/>
      <w:spacing w:val="5"/>
    </w:rPr>
  </w:style>
  <w:style w:type="character" w:customStyle="1" w:styleId="affa">
    <w:name w:val="标题 字符"/>
    <w:basedOn w:val="a2"/>
    <w:link w:val="aff9"/>
    <w:uiPriority w:val="10"/>
    <w:qFormat/>
    <w:rPr>
      <w:rFonts w:asciiTheme="majorHAnsi" w:eastAsia="宋体" w:hAnsiTheme="majorHAnsi" w:cstheme="majorBidi"/>
      <w:b/>
      <w:bCs/>
      <w:sz w:val="32"/>
      <w:szCs w:val="32"/>
    </w:rPr>
  </w:style>
  <w:style w:type="character" w:customStyle="1" w:styleId="aff3">
    <w:name w:val="副标题 字符"/>
    <w:basedOn w:val="a2"/>
    <w:link w:val="aff2"/>
    <w:uiPriority w:val="11"/>
    <w:qFormat/>
    <w:rPr>
      <w:rFonts w:asciiTheme="majorHAnsi" w:eastAsia="宋体" w:hAnsiTheme="majorHAnsi" w:cstheme="majorBidi"/>
      <w:b/>
      <w:bCs/>
      <w:kern w:val="28"/>
      <w:sz w:val="32"/>
      <w:szCs w:val="32"/>
    </w:rPr>
  </w:style>
  <w:style w:type="character" w:customStyle="1" w:styleId="aff">
    <w:name w:val="页眉 字符"/>
    <w:basedOn w:val="a2"/>
    <w:link w:val="afe"/>
    <w:uiPriority w:val="99"/>
    <w:qFormat/>
    <w:rPr>
      <w:sz w:val="18"/>
      <w:szCs w:val="18"/>
    </w:rPr>
  </w:style>
  <w:style w:type="character" w:customStyle="1" w:styleId="afc">
    <w:name w:val="页脚 字符"/>
    <w:basedOn w:val="a2"/>
    <w:link w:val="afb"/>
    <w:uiPriority w:val="99"/>
    <w:qFormat/>
    <w:rPr>
      <w:sz w:val="18"/>
      <w:szCs w:val="18"/>
    </w:rPr>
  </w:style>
  <w:style w:type="paragraph" w:customStyle="1" w:styleId="Default">
    <w:name w:val="Default"/>
    <w:qFormat/>
    <w:pPr>
      <w:widowControl w:val="0"/>
      <w:autoSpaceDE w:val="0"/>
      <w:autoSpaceDN w:val="0"/>
      <w:adjustRightInd w:val="0"/>
      <w:spacing w:afterLines="50" w:after="50"/>
      <w:ind w:firstLineChars="200" w:firstLine="200"/>
    </w:pPr>
    <w:rPr>
      <w:rFonts w:ascii="Arial" w:eastAsiaTheme="minorEastAsia" w:hAnsi="Arial" w:cs="Arial"/>
      <w:color w:val="000000"/>
      <w:sz w:val="24"/>
      <w:szCs w:val="24"/>
    </w:rPr>
  </w:style>
  <w:style w:type="character" w:customStyle="1" w:styleId="af7">
    <w:name w:val="日期 字符"/>
    <w:basedOn w:val="a2"/>
    <w:link w:val="af6"/>
    <w:uiPriority w:val="99"/>
    <w:semiHidden/>
    <w:qFormat/>
  </w:style>
  <w:style w:type="character" w:customStyle="1" w:styleId="afa">
    <w:name w:val="批注框文本 字符"/>
    <w:basedOn w:val="a2"/>
    <w:link w:val="af9"/>
    <w:uiPriority w:val="99"/>
    <w:semiHidden/>
    <w:qFormat/>
    <w:rPr>
      <w:sz w:val="18"/>
      <w:szCs w:val="18"/>
    </w:rPr>
  </w:style>
  <w:style w:type="paragraph" w:customStyle="1" w:styleId="55">
    <w:name w:val="列出段落5"/>
    <w:basedOn w:val="a1"/>
    <w:uiPriority w:val="99"/>
    <w:qFormat/>
    <w:pPr>
      <w:spacing w:after="0"/>
      <w:ind w:firstLine="420"/>
    </w:pPr>
    <w:rPr>
      <w:snapToGrid w:val="0"/>
      <w:kern w:val="0"/>
      <w:sz w:val="20"/>
      <w:szCs w:val="20"/>
      <w:lang w:val="en-GB" w:eastAsia="en-US"/>
    </w:rPr>
  </w:style>
  <w:style w:type="paragraph" w:customStyle="1" w:styleId="13">
    <w:name w:val="样式1"/>
    <w:basedOn w:val="11"/>
    <w:next w:val="21"/>
    <w:qFormat/>
  </w:style>
  <w:style w:type="paragraph" w:customStyle="1" w:styleId="28">
    <w:name w:val="样式2"/>
    <w:basedOn w:val="11"/>
    <w:next w:val="21"/>
    <w:qFormat/>
  </w:style>
  <w:style w:type="paragraph" w:styleId="afff0">
    <w:name w:val="List Paragraph"/>
    <w:basedOn w:val="a1"/>
    <w:uiPriority w:val="99"/>
    <w:rsid w:val="00DF783A"/>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F4971E-02AD-4FDB-96E2-195478AB6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99</Pages>
  <Words>23532</Words>
  <Characters>134136</Characters>
  <Application>Microsoft Office Word</Application>
  <DocSecurity>0</DocSecurity>
  <Lines>1117</Lines>
  <Paragraphs>314</Paragraphs>
  <ScaleCrop>false</ScaleCrop>
  <Company>Lenovo</Company>
  <LinksUpToDate>false</LinksUpToDate>
  <CharactersWithSpaces>157354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JIANGSU JIANGYANG RURAL COMMERIAL BANK</dc:title>
  <dc:creator>XYZH USER</dc:creator>
  <cp:lastModifiedBy>NJ/audit2/Luo Ling</cp:lastModifiedBy>
  <cp:revision>393</cp:revision>
  <cp:lastPrinted>2021-06-02T06:05:00Z</cp:lastPrinted>
  <dcterms:created xsi:type="dcterms:W3CDTF">2019-02-25T14:59:00Z</dcterms:created>
  <dcterms:modified xsi:type="dcterms:W3CDTF">2021-06-04T01:29:00Z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2B593B619A1F4C3890ACC0CF75AD2913</vt:lpwstr>
  </property>
</Properties>
</file>